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F39A" w14:textId="6C758971" w:rsidR="00212E8A" w:rsidRPr="005D083E" w:rsidRDefault="004F6EA7">
      <w:pPr>
        <w:rPr>
          <w:b/>
          <w:bCs/>
          <w:sz w:val="36"/>
          <w:szCs w:val="36"/>
        </w:rPr>
      </w:pPr>
      <w:r w:rsidRPr="005D083E">
        <w:rPr>
          <w:b/>
          <w:bCs/>
          <w:sz w:val="36"/>
          <w:szCs w:val="36"/>
        </w:rPr>
        <w:t>IB Harn- und Stuhlinkontinenz</w:t>
      </w:r>
    </w:p>
    <w:p w14:paraId="5BB146BB" w14:textId="49EE4124" w:rsidR="001C4A03" w:rsidRPr="001C4A03" w:rsidRDefault="001C4A03" w:rsidP="001C4A03">
      <w:pPr>
        <w:rPr>
          <w:b/>
          <w:bCs/>
        </w:rPr>
      </w:pPr>
      <w:r w:rsidRPr="001C4A03">
        <w:rPr>
          <w:b/>
          <w:bCs/>
        </w:rPr>
        <w:t>Unterstützung bei Inkontinenz</w:t>
      </w:r>
    </w:p>
    <w:p w14:paraId="6E412E06" w14:textId="782F8181" w:rsidR="001C4A03" w:rsidRPr="003F0689" w:rsidRDefault="001C4A03" w:rsidP="001C4A03">
      <w:pPr>
        <w:rPr>
          <w:b/>
          <w:bCs/>
          <w:sz w:val="28"/>
          <w:szCs w:val="28"/>
        </w:rPr>
      </w:pPr>
      <w:r w:rsidRPr="003F0689">
        <w:rPr>
          <w:b/>
          <w:bCs/>
          <w:sz w:val="28"/>
          <w:szCs w:val="28"/>
        </w:rPr>
        <w:t>Harninkontinenz</w:t>
      </w:r>
    </w:p>
    <w:p w14:paraId="5E66C56D" w14:textId="1CD9E55F" w:rsidR="001C4A03" w:rsidRPr="001C4A03" w:rsidRDefault="001C4A03" w:rsidP="001C4A03">
      <w:r w:rsidRPr="001C4A03">
        <w:t xml:space="preserve">Die Unterstützung Betroffener hat vor allem zum Ziel, die gestörte Urinausscheidung so normal wie möglich zu gestalten und damit die Teilnahme am gesellschaftlichen Leben zu erhalten. Für die Urininkontinenz bedeutet dies, Pflegebedürftige mit diskreten und der Situation angepassten Inkontinenzprodukten (s. Tab. 1) zu versorgen sowie </w:t>
      </w:r>
      <w:r>
        <w:t xml:space="preserve">die Therapie der Inkontinenz </w:t>
      </w:r>
      <w:r w:rsidRPr="001C4A03">
        <w:t>zu unterstützen.</w:t>
      </w:r>
    </w:p>
    <w:tbl>
      <w:tblPr>
        <w:tblW w:w="10913" w:type="dxa"/>
        <w:tblCellMar>
          <w:top w:w="15" w:type="dxa"/>
          <w:left w:w="15" w:type="dxa"/>
          <w:bottom w:w="15" w:type="dxa"/>
          <w:right w:w="15" w:type="dxa"/>
        </w:tblCellMar>
        <w:tblLook w:val="04A0" w:firstRow="1" w:lastRow="0" w:firstColumn="1" w:lastColumn="0" w:noHBand="0" w:noVBand="1"/>
      </w:tblPr>
      <w:tblGrid>
        <w:gridCol w:w="5197"/>
        <w:gridCol w:w="5716"/>
      </w:tblGrid>
      <w:tr w:rsidR="001C4A03" w:rsidRPr="001C4A03" w14:paraId="44548908" w14:textId="77777777" w:rsidTr="001C4A03">
        <w:trPr>
          <w:tblHeader/>
        </w:trPr>
        <w:tc>
          <w:tcPr>
            <w:tcW w:w="0" w:type="auto"/>
            <w:gridSpan w:val="2"/>
            <w:tcBorders>
              <w:top w:val="nil"/>
              <w:left w:val="nil"/>
              <w:bottom w:val="nil"/>
              <w:right w:val="nil"/>
            </w:tcBorders>
            <w:vAlign w:val="center"/>
            <w:hideMark/>
          </w:tcPr>
          <w:p w14:paraId="27B0CA7B" w14:textId="77777777" w:rsidR="001C4A03" w:rsidRPr="001C4A03" w:rsidRDefault="001C4A03" w:rsidP="001C4A03">
            <w:r w:rsidRPr="001C4A03">
              <w:rPr>
                <w:b/>
                <w:bCs/>
              </w:rPr>
              <w:t>Tab. 5</w:t>
            </w:r>
            <w:r w:rsidRPr="001C4A03">
              <w:t> </w:t>
            </w:r>
            <w:r w:rsidRPr="001C4A03">
              <w:t>Materialien zur Inkontinenzversorgung</w:t>
            </w:r>
          </w:p>
        </w:tc>
      </w:tr>
      <w:tr w:rsidR="001C4A03" w:rsidRPr="001C4A03" w14:paraId="633F35BB" w14:textId="77777777" w:rsidTr="001C4A03">
        <w:trPr>
          <w:tblHeader/>
        </w:trPr>
        <w:tc>
          <w:tcPr>
            <w:tcW w:w="0" w:type="auto"/>
            <w:tcBorders>
              <w:top w:val="nil"/>
              <w:bottom w:val="single" w:sz="12" w:space="0" w:color="E1E5EA"/>
            </w:tcBorders>
            <w:vAlign w:val="bottom"/>
            <w:hideMark/>
          </w:tcPr>
          <w:p w14:paraId="7A19C228" w14:textId="77777777" w:rsidR="001C4A03" w:rsidRPr="001C4A03" w:rsidRDefault="001C4A03" w:rsidP="001C4A03">
            <w:r w:rsidRPr="001C4A03">
              <w:rPr>
                <w:b/>
                <w:bCs/>
              </w:rPr>
              <w:t>Inkontinenzhilfe</w:t>
            </w:r>
          </w:p>
        </w:tc>
        <w:tc>
          <w:tcPr>
            <w:tcW w:w="0" w:type="auto"/>
            <w:tcBorders>
              <w:top w:val="nil"/>
              <w:left w:val="single" w:sz="6" w:space="0" w:color="DEE2E6"/>
              <w:bottom w:val="single" w:sz="12" w:space="0" w:color="E1E5EA"/>
            </w:tcBorders>
            <w:vAlign w:val="bottom"/>
            <w:hideMark/>
          </w:tcPr>
          <w:p w14:paraId="493A78F5" w14:textId="77777777" w:rsidR="001C4A03" w:rsidRPr="001C4A03" w:rsidRDefault="001C4A03" w:rsidP="001C4A03">
            <w:r w:rsidRPr="001C4A03">
              <w:rPr>
                <w:b/>
                <w:bCs/>
              </w:rPr>
              <w:t>Anwendung</w:t>
            </w:r>
          </w:p>
        </w:tc>
      </w:tr>
      <w:tr w:rsidR="001C4A03" w:rsidRPr="001C4A03" w14:paraId="5CBC197E" w14:textId="77777777" w:rsidTr="001C4A03">
        <w:tc>
          <w:tcPr>
            <w:tcW w:w="0" w:type="auto"/>
            <w:tcBorders>
              <w:top w:val="nil"/>
            </w:tcBorders>
            <w:hideMark/>
          </w:tcPr>
          <w:p w14:paraId="0AFD21E6" w14:textId="77777777" w:rsidR="001C4A03" w:rsidRPr="001C4A03" w:rsidRDefault="001C4A03" w:rsidP="001C4A03">
            <w:r w:rsidRPr="001C4A03">
              <w:rPr>
                <w:b/>
                <w:bCs/>
              </w:rPr>
              <w:t>Aufsaugende Hilfsmittel</w:t>
            </w:r>
          </w:p>
        </w:tc>
        <w:tc>
          <w:tcPr>
            <w:tcW w:w="0" w:type="auto"/>
            <w:tcBorders>
              <w:top w:val="nil"/>
              <w:left w:val="single" w:sz="6" w:space="0" w:color="DEE2E6"/>
            </w:tcBorders>
            <w:hideMark/>
          </w:tcPr>
          <w:p w14:paraId="2C0A3BAA" w14:textId="77777777" w:rsidR="001C4A03" w:rsidRPr="001C4A03" w:rsidRDefault="001C4A03" w:rsidP="001C4A03">
            <w:r w:rsidRPr="001C4A03">
              <w:t>Für die Frau:</w:t>
            </w:r>
          </w:p>
          <w:p w14:paraId="04D4D7A6" w14:textId="77777777" w:rsidR="001C4A03" w:rsidRDefault="001C4A03" w:rsidP="001C4A03">
            <w:pPr>
              <w:numPr>
                <w:ilvl w:val="0"/>
                <w:numId w:val="1"/>
              </w:numPr>
            </w:pPr>
            <w:r w:rsidRPr="001C4A03">
              <w:t xml:space="preserve">offene Systeme: Vorlagen in verschiedenen </w:t>
            </w:r>
          </w:p>
          <w:p w14:paraId="1F9FAAB2" w14:textId="005CD7F1" w:rsidR="001C4A03" w:rsidRPr="001C4A03" w:rsidRDefault="001C4A03" w:rsidP="001C4A03">
            <w:pPr>
              <w:ind w:left="720"/>
            </w:pPr>
            <w:r w:rsidRPr="001C4A03">
              <w:t>Größen und Formen</w:t>
            </w:r>
          </w:p>
          <w:p w14:paraId="4B644282" w14:textId="77777777" w:rsidR="001C4A03" w:rsidRPr="001C4A03" w:rsidRDefault="001C4A03" w:rsidP="001C4A03">
            <w:pPr>
              <w:numPr>
                <w:ilvl w:val="0"/>
                <w:numId w:val="1"/>
              </w:numPr>
            </w:pPr>
            <w:r w:rsidRPr="001C4A03">
              <w:t>geschlossene Systeme: Inkontinenzslip</w:t>
            </w:r>
          </w:p>
          <w:p w14:paraId="605858E1" w14:textId="77777777" w:rsidR="001C4A03" w:rsidRPr="001C4A03" w:rsidRDefault="001C4A03" w:rsidP="001C4A03">
            <w:r w:rsidRPr="001C4A03">
              <w:t>Für den Mann:</w:t>
            </w:r>
          </w:p>
          <w:p w14:paraId="64AB957B" w14:textId="77777777" w:rsidR="001C4A03" w:rsidRDefault="001C4A03" w:rsidP="001C4A03">
            <w:pPr>
              <w:numPr>
                <w:ilvl w:val="0"/>
                <w:numId w:val="2"/>
              </w:numPr>
            </w:pPr>
            <w:r w:rsidRPr="001C4A03">
              <w:t>offene Systeme: Vorlagen für den Mann,</w:t>
            </w:r>
          </w:p>
          <w:p w14:paraId="38569FE8" w14:textId="7461BD64" w:rsidR="001C4A03" w:rsidRPr="001C4A03" w:rsidRDefault="001C4A03" w:rsidP="001C4A03">
            <w:pPr>
              <w:ind w:left="720"/>
            </w:pPr>
            <w:r w:rsidRPr="001C4A03">
              <w:t xml:space="preserve"> Penistasche</w:t>
            </w:r>
          </w:p>
          <w:p w14:paraId="6E415DE5" w14:textId="77777777" w:rsidR="001C4A03" w:rsidRPr="001C4A03" w:rsidRDefault="001C4A03" w:rsidP="001C4A03">
            <w:pPr>
              <w:numPr>
                <w:ilvl w:val="0"/>
                <w:numId w:val="2"/>
              </w:numPr>
            </w:pPr>
            <w:r w:rsidRPr="001C4A03">
              <w:t>geschlossene Systeme: Inkontinenzslip</w:t>
            </w:r>
          </w:p>
        </w:tc>
      </w:tr>
      <w:tr w:rsidR="001C4A03" w:rsidRPr="001C4A03" w14:paraId="2F66B5EE" w14:textId="77777777" w:rsidTr="001C4A03">
        <w:tc>
          <w:tcPr>
            <w:tcW w:w="0" w:type="auto"/>
            <w:tcBorders>
              <w:top w:val="nil"/>
            </w:tcBorders>
            <w:hideMark/>
          </w:tcPr>
          <w:p w14:paraId="372AE7FE" w14:textId="77777777" w:rsidR="001C4A03" w:rsidRPr="001C4A03" w:rsidRDefault="001C4A03" w:rsidP="001C4A03">
            <w:r w:rsidRPr="001C4A03">
              <w:rPr>
                <w:b/>
                <w:bCs/>
              </w:rPr>
              <w:t>Ableitende Versorgung</w:t>
            </w:r>
          </w:p>
        </w:tc>
        <w:tc>
          <w:tcPr>
            <w:tcW w:w="0" w:type="auto"/>
            <w:tcBorders>
              <w:top w:val="nil"/>
              <w:left w:val="single" w:sz="6" w:space="0" w:color="DEE2E6"/>
            </w:tcBorders>
            <w:hideMark/>
          </w:tcPr>
          <w:p w14:paraId="0412C05C" w14:textId="77777777" w:rsidR="001C4A03" w:rsidRPr="001C4A03" w:rsidRDefault="001C4A03" w:rsidP="001C4A03">
            <w:pPr>
              <w:numPr>
                <w:ilvl w:val="0"/>
                <w:numId w:val="3"/>
              </w:numPr>
            </w:pPr>
            <w:r w:rsidRPr="001C4A03">
              <w:t>Kondomurinal mit Ablaufbeutel</w:t>
            </w:r>
          </w:p>
          <w:p w14:paraId="5E6A4F07" w14:textId="77777777" w:rsidR="001C4A03" w:rsidRPr="001C4A03" w:rsidRDefault="001C4A03" w:rsidP="001C4A03">
            <w:pPr>
              <w:numPr>
                <w:ilvl w:val="0"/>
                <w:numId w:val="3"/>
              </w:numPr>
            </w:pPr>
            <w:r w:rsidRPr="001C4A03">
              <w:t>transurethraler oder suprapubischer Blasenverweilkatheter</w:t>
            </w:r>
          </w:p>
        </w:tc>
      </w:tr>
      <w:tr w:rsidR="001C4A03" w:rsidRPr="001C4A03" w14:paraId="575C27C4" w14:textId="77777777" w:rsidTr="001C4A03">
        <w:tc>
          <w:tcPr>
            <w:tcW w:w="0" w:type="auto"/>
            <w:tcBorders>
              <w:top w:val="nil"/>
            </w:tcBorders>
            <w:hideMark/>
          </w:tcPr>
          <w:p w14:paraId="125E4501" w14:textId="77777777" w:rsidR="001C4A03" w:rsidRPr="001C4A03" w:rsidRDefault="001C4A03" w:rsidP="001C4A03">
            <w:r w:rsidRPr="001C4A03">
              <w:rPr>
                <w:b/>
                <w:bCs/>
              </w:rPr>
              <w:t>Hilfsmittel zur kontrollierten Blasen- und Darmentleerung</w:t>
            </w:r>
          </w:p>
        </w:tc>
        <w:tc>
          <w:tcPr>
            <w:tcW w:w="0" w:type="auto"/>
            <w:tcBorders>
              <w:top w:val="nil"/>
              <w:left w:val="single" w:sz="6" w:space="0" w:color="DEE2E6"/>
            </w:tcBorders>
            <w:hideMark/>
          </w:tcPr>
          <w:p w14:paraId="6C4882D1" w14:textId="77777777" w:rsidR="001C4A03" w:rsidRDefault="001C4A03" w:rsidP="001C4A03">
            <w:pPr>
              <w:numPr>
                <w:ilvl w:val="0"/>
                <w:numId w:val="4"/>
              </w:numPr>
            </w:pPr>
            <w:r w:rsidRPr="001C4A03">
              <w:t xml:space="preserve">mobile Toilettenhilfen: Toilettenstuhl, </w:t>
            </w:r>
          </w:p>
          <w:p w14:paraId="147716D5" w14:textId="77777777" w:rsidR="001C4A03" w:rsidRDefault="001C4A03" w:rsidP="001C4A03">
            <w:pPr>
              <w:ind w:left="720"/>
            </w:pPr>
            <w:r w:rsidRPr="001C4A03">
              <w:t>Steckbecken, Urinflasche</w:t>
            </w:r>
          </w:p>
          <w:p w14:paraId="4589ED29" w14:textId="767B1E5B" w:rsidR="001C4A03" w:rsidRPr="001C4A03" w:rsidRDefault="001C4A03" w:rsidP="001C4A03">
            <w:pPr>
              <w:ind w:left="720"/>
            </w:pPr>
          </w:p>
        </w:tc>
      </w:tr>
    </w:tbl>
    <w:p w14:paraId="584C6CC8" w14:textId="77777777" w:rsidR="001C4A03" w:rsidRDefault="001C4A03" w:rsidP="001C4A03"/>
    <w:p w14:paraId="056E7D4C" w14:textId="6EC19A80" w:rsidR="001C4A03" w:rsidRPr="001C4A03" w:rsidRDefault="001C4A03" w:rsidP="001C4A03">
      <w:r w:rsidRPr="001C4A03">
        <w:t>Die Versorgung mit Inkontinenzhilfen erfolgt in</w:t>
      </w:r>
      <w:r>
        <w:t xml:space="preserve"> der ambulanten Pflege </w:t>
      </w:r>
      <w:r w:rsidRPr="001C4A03">
        <w:t xml:space="preserve">und in Einrichtungen </w:t>
      </w:r>
      <w:r>
        <w:t xml:space="preserve">der stationären Langzeitpflege </w:t>
      </w:r>
      <w:r w:rsidRPr="001C4A03">
        <w:t>über eine Verordnung des behandelnden Arztes, wenn eine medizinische</w:t>
      </w:r>
      <w:r>
        <w:t xml:space="preserve"> Indikation </w:t>
      </w:r>
      <w:r w:rsidRPr="001C4A03">
        <w:t>vorliegt oder wenn die Hilfsmittel notwendig sind, um Grundbedürfnisse des täglichen Lebens zu erfüllen. Ist (im ambulanten Fall) die Kostenübernahme durch die Krankenkasse geklärt, wird das Rezept in einem Sanitätshaus oder einer Apotheke eingelöst. Die erhaltene Menge an Hilfsmitteln muss bis zum nächsten Rezept ausreichen, ein Mehrbedarf muss auf eigene Kosten nachgekauft werden. In stationären Einrichtungen erfolgt die Bestellung zentral, die Verordnung erfolgt als Dauerverordnung. Die Zuzahlung des Pflegebedürftigen beträgt höchstens 10 Euro pro Monat. Die Hilfsmittel, die verordnet werden können, sind im Hilfsmittelverzeichnis aufgelistet.</w:t>
      </w:r>
    </w:p>
    <w:p w14:paraId="1F439DAB" w14:textId="5F862C55" w:rsidR="001C4A03" w:rsidRPr="001C4A03" w:rsidRDefault="001C4A03" w:rsidP="001C4A03">
      <w:r w:rsidRPr="001C4A03">
        <w:rPr>
          <w:b/>
          <w:bCs/>
        </w:rPr>
        <w:t>Lesetipp</w:t>
      </w:r>
      <w:r>
        <w:rPr>
          <w:b/>
          <w:bCs/>
        </w:rPr>
        <w:t xml:space="preserve">:   </w:t>
      </w:r>
      <w:hyperlink r:id="rId7" w:history="1">
        <w:r w:rsidRPr="001C4A03">
          <w:rPr>
            <w:rStyle w:val="Hyperlink"/>
          </w:rPr>
          <w:t>Hilfsmittelverzeichnis des GKV-Spitzenverbandes</w:t>
        </w:r>
      </w:hyperlink>
    </w:p>
    <w:p w14:paraId="00045C4D" w14:textId="77777777" w:rsidR="001C4A03" w:rsidRPr="001C4A03" w:rsidRDefault="001C4A03" w:rsidP="001C4A03">
      <w:r w:rsidRPr="001C4A03">
        <w:lastRenderedPageBreak/>
        <w:t>Das korrekte </w:t>
      </w:r>
      <w:r w:rsidRPr="001C4A03">
        <w:rPr>
          <w:b/>
          <w:bCs/>
        </w:rPr>
        <w:t>Anlegen von Inkontinenzvorlagen</w:t>
      </w:r>
      <w:r w:rsidRPr="001C4A03">
        <w:t> ist eine wichtige Voraussetzung für die erfolgreiche Umsetzung der Maßnahmen zur Förderung der Harnkontinenz. Dabei kann sich die Pflegebedürftige in Seitenlage befinden oder stehen, dann steht die Pflegende hinter ihr:</w:t>
      </w:r>
    </w:p>
    <w:p w14:paraId="4255ABC5" w14:textId="77777777" w:rsidR="001C4A03" w:rsidRPr="001C4A03" w:rsidRDefault="001C4A03" w:rsidP="001C4A03">
      <w:pPr>
        <w:numPr>
          <w:ilvl w:val="0"/>
          <w:numId w:val="5"/>
        </w:numPr>
      </w:pPr>
      <w:r w:rsidRPr="001C4A03">
        <w:t>Netzhose oder Unterhose bis auf Kniehöhe herunterziehen</w:t>
      </w:r>
    </w:p>
    <w:p w14:paraId="6BAB8E70" w14:textId="77777777" w:rsidR="001C4A03" w:rsidRPr="001C4A03" w:rsidRDefault="001C4A03" w:rsidP="001C4A03">
      <w:pPr>
        <w:numPr>
          <w:ilvl w:val="0"/>
          <w:numId w:val="5"/>
        </w:numPr>
      </w:pPr>
      <w:r w:rsidRPr="001C4A03">
        <w:t>benutzte Inkontinenzeinlage oder geöffneten Inkontinenzslip nach hinten (Richtung Anus) herausziehen</w:t>
      </w:r>
    </w:p>
    <w:p w14:paraId="2F845FA4" w14:textId="77777777" w:rsidR="001C4A03" w:rsidRPr="001C4A03" w:rsidRDefault="001C4A03" w:rsidP="001C4A03">
      <w:pPr>
        <w:numPr>
          <w:ilvl w:val="0"/>
          <w:numId w:val="5"/>
        </w:numPr>
      </w:pPr>
      <w:r w:rsidRPr="001C4A03">
        <w:t>neue Einlage oder Slip so falten, dass sie ein Schiffchen bilden</w:t>
      </w:r>
    </w:p>
    <w:p w14:paraId="0455E149" w14:textId="448A5B2E" w:rsidR="001C4A03" w:rsidRPr="001C4A03" w:rsidRDefault="001C4A03" w:rsidP="001C4A03">
      <w:pPr>
        <w:numPr>
          <w:ilvl w:val="0"/>
          <w:numId w:val="5"/>
        </w:numPr>
      </w:pPr>
      <w:r w:rsidRPr="001C4A03">
        <w:t xml:space="preserve">von vorn </w:t>
      </w:r>
      <w:r w:rsidR="008D34D9">
        <w:t>(Symphyse)</w:t>
      </w:r>
      <w:r w:rsidRPr="001C4A03">
        <w:t xml:space="preserve"> nach hinten (Anus) einziehen</w:t>
      </w:r>
    </w:p>
    <w:p w14:paraId="6DB064AA" w14:textId="77777777" w:rsidR="001C4A03" w:rsidRPr="001C4A03" w:rsidRDefault="001C4A03" w:rsidP="001C4A03">
      <w:pPr>
        <w:numPr>
          <w:ilvl w:val="0"/>
          <w:numId w:val="5"/>
        </w:numPr>
      </w:pPr>
      <w:r w:rsidRPr="001C4A03">
        <w:t>am Bauch und über dem Gesäß auseinanderfalten</w:t>
      </w:r>
    </w:p>
    <w:p w14:paraId="2312C1F9" w14:textId="5A3FAB2C" w:rsidR="001C4A03" w:rsidRPr="001C4A03" w:rsidRDefault="00267F46" w:rsidP="001C4A03">
      <w:pPr>
        <w:numPr>
          <w:ilvl w:val="0"/>
          <w:numId w:val="5"/>
        </w:numPr>
      </w:pPr>
      <w:r w:rsidRPr="001C4A03">
        <w:t>beistehender</w:t>
      </w:r>
      <w:r w:rsidR="001C4A03" w:rsidRPr="001C4A03">
        <w:t xml:space="preserve"> Pflegebedürftiger die Vorlage über dem Gesäß mit dem eigenen Körper fixieren</w:t>
      </w:r>
    </w:p>
    <w:p w14:paraId="21A83CCF" w14:textId="6FD803BC" w:rsidR="001C4A03" w:rsidRPr="001C4A03" w:rsidRDefault="001C4A03" w:rsidP="001C4A03">
      <w:pPr>
        <w:numPr>
          <w:ilvl w:val="0"/>
          <w:numId w:val="5"/>
        </w:numPr>
      </w:pPr>
      <w:r w:rsidRPr="001C4A03">
        <w:t xml:space="preserve">Netzhose nach oben </w:t>
      </w:r>
      <w:r w:rsidR="008D34D9" w:rsidRPr="001C4A03">
        <w:t xml:space="preserve">ziehen bzw. </w:t>
      </w:r>
      <w:r w:rsidRPr="001C4A03">
        <w:t>Klebeverschlüsse schließen</w:t>
      </w:r>
    </w:p>
    <w:p w14:paraId="4E319263" w14:textId="77777777" w:rsidR="001C4A03" w:rsidRDefault="001C4A03" w:rsidP="001C4A03">
      <w:pPr>
        <w:numPr>
          <w:ilvl w:val="0"/>
          <w:numId w:val="5"/>
        </w:numPr>
      </w:pPr>
      <w:r w:rsidRPr="001C4A03">
        <w:t>Sitz kontrollieren, Oberschenkel dürfen nicht eingeschnürt werden</w:t>
      </w:r>
    </w:p>
    <w:p w14:paraId="16B404C7" w14:textId="77777777" w:rsidR="00C12D8A" w:rsidRDefault="00C12D8A" w:rsidP="00C12D8A">
      <w:pPr>
        <w:rPr>
          <w:b/>
          <w:bCs/>
        </w:rPr>
      </w:pPr>
    </w:p>
    <w:p w14:paraId="5D957C59" w14:textId="36F8AE52" w:rsidR="00C12D8A" w:rsidRPr="00C12D8A" w:rsidRDefault="00C12D8A" w:rsidP="00C12D8A">
      <w:pPr>
        <w:rPr>
          <w:sz w:val="28"/>
          <w:szCs w:val="28"/>
        </w:rPr>
      </w:pPr>
      <w:proofErr w:type="spellStart"/>
      <w:r w:rsidRPr="00C12D8A">
        <w:rPr>
          <w:b/>
          <w:bCs/>
          <w:sz w:val="28"/>
          <w:szCs w:val="28"/>
        </w:rPr>
        <w:t>Kontinenzförderung</w:t>
      </w:r>
      <w:proofErr w:type="spellEnd"/>
      <w:r w:rsidR="00267F46">
        <w:rPr>
          <w:b/>
          <w:bCs/>
          <w:sz w:val="28"/>
          <w:szCs w:val="28"/>
        </w:rPr>
        <w:t xml:space="preserve"> bei Harninkontinenz</w:t>
      </w:r>
    </w:p>
    <w:p w14:paraId="4AD0434A" w14:textId="77777777" w:rsidR="00C12D8A" w:rsidRPr="00C12D8A" w:rsidRDefault="00C12D8A" w:rsidP="00C12D8A">
      <w:r w:rsidRPr="00C12D8A">
        <w:t xml:space="preserve">Mithilfe von Blasentraining, Toilettentraining sowie Beckenbodentraining kann eine (unabhängige) Kontinenz wieder erreicht werden. Alle drei sind Maßnahmen der </w:t>
      </w:r>
      <w:proofErr w:type="spellStart"/>
      <w:r w:rsidRPr="00C12D8A">
        <w:t>Kontinenzförderung</w:t>
      </w:r>
      <w:proofErr w:type="spellEnd"/>
      <w:r w:rsidRPr="00C12D8A">
        <w:t>.</w:t>
      </w:r>
    </w:p>
    <w:p w14:paraId="32B2495F" w14:textId="77777777" w:rsidR="00C12D8A" w:rsidRPr="00C12D8A" w:rsidRDefault="00C12D8A" w:rsidP="00C12D8A">
      <w:r w:rsidRPr="00C12D8A">
        <w:t>Das </w:t>
      </w:r>
      <w:r w:rsidRPr="00C12D8A">
        <w:rPr>
          <w:b/>
          <w:bCs/>
        </w:rPr>
        <w:t>Blasentraining</w:t>
      </w:r>
      <w:r w:rsidRPr="00C12D8A">
        <w:t> besteht in der geplanten regelmäßigen und dokumentierten Blasenentleerung. Die Blase wird auf feste Entleerungszeiten trainiert und entleert sich nicht mehr unwillkürlich. Der Ablauf könnte wie folgt aussehen:</w:t>
      </w:r>
    </w:p>
    <w:p w14:paraId="7CB59308" w14:textId="77777777" w:rsidR="00C12D8A" w:rsidRPr="00C12D8A" w:rsidRDefault="00C12D8A" w:rsidP="00C12D8A">
      <w:pPr>
        <w:numPr>
          <w:ilvl w:val="0"/>
          <w:numId w:val="10"/>
        </w:numPr>
      </w:pPr>
      <w:r w:rsidRPr="00C12D8A">
        <w:t>Planung der Toilettengänge im Miktionskalender</w:t>
      </w:r>
    </w:p>
    <w:p w14:paraId="5CD68BB9" w14:textId="77777777" w:rsidR="00C12D8A" w:rsidRPr="00C12D8A" w:rsidRDefault="00C12D8A" w:rsidP="00C12D8A">
      <w:pPr>
        <w:numPr>
          <w:ilvl w:val="0"/>
          <w:numId w:val="10"/>
        </w:numPr>
      </w:pPr>
      <w:r w:rsidRPr="00C12D8A">
        <w:t>zu Beginn alle zwei Stunden Toilettengänge einplanen (max. zehn am Tag)</w:t>
      </w:r>
    </w:p>
    <w:p w14:paraId="2DBB0EC0" w14:textId="77777777" w:rsidR="00C12D8A" w:rsidRPr="00C12D8A" w:rsidRDefault="00C12D8A" w:rsidP="00C12D8A">
      <w:pPr>
        <w:numPr>
          <w:ilvl w:val="0"/>
          <w:numId w:val="10"/>
        </w:numPr>
      </w:pPr>
      <w:r w:rsidRPr="00C12D8A">
        <w:t>etwa eine halbe Stunde nach den Mahlzeiten</w:t>
      </w:r>
    </w:p>
    <w:p w14:paraId="7C31ADB8" w14:textId="77777777" w:rsidR="00C12D8A" w:rsidRPr="00C12D8A" w:rsidRDefault="00C12D8A" w:rsidP="00C12D8A">
      <w:pPr>
        <w:numPr>
          <w:ilvl w:val="0"/>
          <w:numId w:val="10"/>
        </w:numPr>
      </w:pPr>
      <w:r w:rsidRPr="00C12D8A">
        <w:t>vereinbarte Zeiten (wenn möglich) einhalten</w:t>
      </w:r>
    </w:p>
    <w:p w14:paraId="18E2611C" w14:textId="77777777" w:rsidR="00C12D8A" w:rsidRPr="00C12D8A" w:rsidRDefault="00C12D8A" w:rsidP="00C12D8A">
      <w:pPr>
        <w:numPr>
          <w:ilvl w:val="0"/>
          <w:numId w:val="10"/>
        </w:numPr>
      </w:pPr>
      <w:r w:rsidRPr="00C12D8A">
        <w:t>Dokumentation der erfolgreichen Toilettengänge im Miktionskalender</w:t>
      </w:r>
    </w:p>
    <w:p w14:paraId="3FB42CFD" w14:textId="77777777" w:rsidR="00C12D8A" w:rsidRPr="00C12D8A" w:rsidRDefault="00C12D8A" w:rsidP="00C12D8A">
      <w:pPr>
        <w:numPr>
          <w:ilvl w:val="0"/>
          <w:numId w:val="10"/>
        </w:numPr>
      </w:pPr>
      <w:r w:rsidRPr="00C12D8A">
        <w:t>bei erfolgreichem Verlauf, die Zeiträume zwischen den einzelnen Gängen ausdehnen</w:t>
      </w:r>
    </w:p>
    <w:p w14:paraId="0233EB63" w14:textId="14BC4696" w:rsidR="001C4A03" w:rsidRDefault="00216BBE" w:rsidP="001C4A03">
      <w:r w:rsidRPr="00216BBE">
        <w:t>Beim </w:t>
      </w:r>
      <w:r w:rsidRPr="00216BBE">
        <w:rPr>
          <w:b/>
          <w:bCs/>
        </w:rPr>
        <w:t>Toilettentraining</w:t>
      </w:r>
      <w:r w:rsidRPr="00216BBE">
        <w:t> wird die Aufmerksamkeit der Pflegebedürftigen regelmäßig auf Harndrang bzw. mögliche Toilettengänge gelenkt. Es wird ihr die Begleitung zur Toilette angeboten. Erfolgreiche Verläufe werden durch eine entsprechende Rückmeldung positiv verstärkt. Nach Abschluss eines Toilettenganges wird bereits der nächste Gang besprochen bzw. geplant, mit dem Hinweis darauf, die Urinausscheidung bis dahin zurückzuhalten. Als Toilettentraining werden auch die Maßnahmen bezeichnet, die bei Kleinkindern zum Erlernen der Kontinenz führen.</w:t>
      </w:r>
    </w:p>
    <w:p w14:paraId="08937B5F" w14:textId="77777777" w:rsidR="00E60EBE" w:rsidRPr="00E60EBE" w:rsidRDefault="00E60EBE" w:rsidP="00E60EBE">
      <w:r w:rsidRPr="00E60EBE">
        <w:t>Das </w:t>
      </w:r>
      <w:r w:rsidRPr="00E60EBE">
        <w:rPr>
          <w:b/>
          <w:bCs/>
        </w:rPr>
        <w:t>Beckenbodentraining</w:t>
      </w:r>
      <w:r w:rsidRPr="00E60EBE">
        <w:t xml:space="preserve"> besteht aus physiotherapeutischen Übungen zur Stärkung der Muskulatur des Beckenbodens. Durch die stehende Haltung des Menschen wirkt die </w:t>
      </w:r>
      <w:r w:rsidRPr="00E60EBE">
        <w:lastRenderedPageBreak/>
        <w:t>Gewichtskraft der inneren Organe auf den Beckenboden, die Schließmuskeln von Anus und Harnröhre werden belastet und gedehnt.</w:t>
      </w:r>
    </w:p>
    <w:p w14:paraId="1CF0B252" w14:textId="1E717549" w:rsidR="00E60EBE" w:rsidRPr="00E60EBE" w:rsidRDefault="00E60EBE" w:rsidP="00E60EBE">
      <w:r w:rsidRPr="00E60EBE">
        <w:t xml:space="preserve">Die Folgen einer zu großen Belastung des Beckenbodens können Inkontinenz, bei Frauen zudem die Senkung </w:t>
      </w:r>
      <w:r w:rsidR="008D34D9">
        <w:t>der Gebärmutter (Uterus)</w:t>
      </w:r>
      <w:r w:rsidRPr="00E60EBE">
        <w:t> sein. Große Belastungssituationen entstehen</w:t>
      </w:r>
    </w:p>
    <w:p w14:paraId="58F5C037" w14:textId="77777777" w:rsidR="00E60EBE" w:rsidRPr="00E60EBE" w:rsidRDefault="00E60EBE" w:rsidP="00E60EBE">
      <w:pPr>
        <w:numPr>
          <w:ilvl w:val="0"/>
          <w:numId w:val="11"/>
        </w:numPr>
      </w:pPr>
      <w:r w:rsidRPr="00E60EBE">
        <w:t>beim Tragen schwerer Lasten</w:t>
      </w:r>
    </w:p>
    <w:p w14:paraId="66DBE24F" w14:textId="77777777" w:rsidR="00E60EBE" w:rsidRPr="00E60EBE" w:rsidRDefault="00E60EBE" w:rsidP="00E60EBE">
      <w:pPr>
        <w:numPr>
          <w:ilvl w:val="0"/>
          <w:numId w:val="11"/>
        </w:numPr>
      </w:pPr>
      <w:r w:rsidRPr="00E60EBE">
        <w:t>bei fast ausschließlich stehenden Tätigkeiten</w:t>
      </w:r>
    </w:p>
    <w:p w14:paraId="1C85D2DC" w14:textId="64BA5EA4" w:rsidR="00E60EBE" w:rsidRPr="00E60EBE" w:rsidRDefault="00E60EBE" w:rsidP="00E60EBE">
      <w:pPr>
        <w:numPr>
          <w:ilvl w:val="0"/>
          <w:numId w:val="11"/>
        </w:numPr>
      </w:pPr>
      <w:r w:rsidRPr="00E60EBE">
        <w:t xml:space="preserve">beim starken Pressen zum Stuhlgang </w:t>
      </w:r>
      <w:r w:rsidR="00437895">
        <w:t>(Obstipation)</w:t>
      </w:r>
    </w:p>
    <w:p w14:paraId="54F6F373" w14:textId="70B7EDD8" w:rsidR="00E60EBE" w:rsidRPr="00E60EBE" w:rsidRDefault="00E60EBE" w:rsidP="00E60EBE">
      <w:pPr>
        <w:numPr>
          <w:ilvl w:val="0"/>
          <w:numId w:val="11"/>
        </w:numPr>
      </w:pPr>
      <w:r w:rsidRPr="00E60EBE">
        <w:t>bei </w:t>
      </w:r>
      <w:r w:rsidR="00437895">
        <w:t>Adipositas</w:t>
      </w:r>
      <w:r w:rsidRPr="00E60EBE">
        <w:t> sowie</w:t>
      </w:r>
    </w:p>
    <w:p w14:paraId="20E65F17" w14:textId="77777777" w:rsidR="00E60EBE" w:rsidRPr="00E60EBE" w:rsidRDefault="00E60EBE" w:rsidP="00E60EBE">
      <w:pPr>
        <w:numPr>
          <w:ilvl w:val="0"/>
          <w:numId w:val="11"/>
        </w:numPr>
      </w:pPr>
      <w:r w:rsidRPr="00E60EBE">
        <w:t>nach mehreren Schwangerschaften.</w:t>
      </w:r>
    </w:p>
    <w:p w14:paraId="40DAC6CE" w14:textId="77777777" w:rsidR="00E60EBE" w:rsidRPr="00E60EBE" w:rsidRDefault="00E60EBE" w:rsidP="00E60EBE">
      <w:r w:rsidRPr="00E60EBE">
        <w:t>Die Muskulatur verliert über Jahre hinweg an Kontraktionskraft, kann aber wie jede andere Skelettmuskulatur trainiert werden.</w:t>
      </w:r>
    </w:p>
    <w:p w14:paraId="24099153" w14:textId="77777777" w:rsidR="00E60EBE" w:rsidRPr="00E60EBE" w:rsidRDefault="00E60EBE" w:rsidP="00E60EBE">
      <w:r w:rsidRPr="00E60EBE">
        <w:t xml:space="preserve">Beckenbodentraining wird vor allem durch Physiotherapeutinnen und geschulte </w:t>
      </w:r>
      <w:proofErr w:type="spellStart"/>
      <w:r w:rsidRPr="00E60EBE">
        <w:t>Kontinenzberaterinnen</w:t>
      </w:r>
      <w:proofErr w:type="spellEnd"/>
      <w:r w:rsidRPr="00E60EBE">
        <w:t xml:space="preserve"> angeleitet und durchgeführt.</w:t>
      </w:r>
    </w:p>
    <w:p w14:paraId="1E18D161" w14:textId="2260BE58" w:rsidR="00E60EBE" w:rsidRPr="00E60EBE" w:rsidRDefault="00E60EBE" w:rsidP="00E60EBE">
      <w:r w:rsidRPr="00E60EBE">
        <w:t>Auch für Männer kommen Übungen zur Stärkung der Beckenbodenmuskulatur in Frage. Die häufigste Ursache für Harninkontinenz beim Mann sind Erkrankungen</w:t>
      </w:r>
      <w:r w:rsidR="003249AC">
        <w:t xml:space="preserve"> der Prostata</w:t>
      </w:r>
      <w:r w:rsidRPr="00E60EBE">
        <w:t> bzw. deren operative Entfernung sowie neurologische Erkrankungen. Durch Stärkung des Beckenbodens erlangen Männer nach operativer Entfernung der Prostata schneller wieder ihre Harnkontinenz.</w:t>
      </w:r>
    </w:p>
    <w:p w14:paraId="683E99F3" w14:textId="77777777" w:rsidR="00216BBE" w:rsidRPr="001C4A03" w:rsidRDefault="00216BBE" w:rsidP="001C4A03"/>
    <w:p w14:paraId="1264518A" w14:textId="6B682BCC" w:rsidR="001C4A03" w:rsidRPr="003249AC" w:rsidRDefault="001C4A03">
      <w:pPr>
        <w:rPr>
          <w:b/>
          <w:bCs/>
          <w:sz w:val="32"/>
          <w:szCs w:val="32"/>
        </w:rPr>
      </w:pPr>
      <w:r w:rsidRPr="003249AC">
        <w:rPr>
          <w:b/>
          <w:bCs/>
          <w:sz w:val="32"/>
          <w:szCs w:val="32"/>
        </w:rPr>
        <w:t>Stuhlinkontinenz</w:t>
      </w:r>
    </w:p>
    <w:p w14:paraId="0D624714" w14:textId="77777777" w:rsidR="001C4A03" w:rsidRPr="001C4A03" w:rsidRDefault="001C4A03" w:rsidP="001C4A03">
      <w:r w:rsidRPr="001C4A03">
        <w:t>Bei Stuhlinkontinenz kann, je nach Indikation, auf folgende Hilfsmittel zurückgegriffen werden:</w:t>
      </w:r>
    </w:p>
    <w:p w14:paraId="0E4D7C19" w14:textId="77777777" w:rsidR="001C4A03" w:rsidRPr="001C4A03" w:rsidRDefault="001C4A03" w:rsidP="001C4A03">
      <w:pPr>
        <w:numPr>
          <w:ilvl w:val="0"/>
          <w:numId w:val="6"/>
        </w:numPr>
      </w:pPr>
      <w:r w:rsidRPr="001C4A03">
        <w:t>Inkontinenzunterlage</w:t>
      </w:r>
    </w:p>
    <w:p w14:paraId="79A6D49F" w14:textId="693BCE9E" w:rsidR="003F0689" w:rsidRDefault="003F0689" w:rsidP="001C4A03">
      <w:pPr>
        <w:numPr>
          <w:ilvl w:val="0"/>
          <w:numId w:val="6"/>
        </w:numPr>
      </w:pPr>
      <w:r>
        <w:t>Analtampon</w:t>
      </w:r>
    </w:p>
    <w:p w14:paraId="53367375" w14:textId="0DC92BED" w:rsidR="001C4A03" w:rsidRPr="001C4A03" w:rsidRDefault="001C4A03" w:rsidP="001C4A03">
      <w:pPr>
        <w:numPr>
          <w:ilvl w:val="0"/>
          <w:numId w:val="6"/>
        </w:numPr>
      </w:pPr>
      <w:r w:rsidRPr="001C4A03">
        <w:t>Stuhlauffangbeutel</w:t>
      </w:r>
    </w:p>
    <w:p w14:paraId="6AF83BD9" w14:textId="7B43666C" w:rsidR="001C4A03" w:rsidRPr="001C4A03" w:rsidRDefault="001C4A03" w:rsidP="001C4A03">
      <w:r w:rsidRPr="001C4A03">
        <w:t>Ein</w:t>
      </w:r>
      <w:r w:rsidR="003F0689">
        <w:t xml:space="preserve"> </w:t>
      </w:r>
      <w:r w:rsidRPr="001C4A03">
        <w:rPr>
          <w:b/>
          <w:bCs/>
        </w:rPr>
        <w:t>Analtampon</w:t>
      </w:r>
      <w:r w:rsidR="003F0689">
        <w:rPr>
          <w:b/>
          <w:bCs/>
        </w:rPr>
        <w:t xml:space="preserve"> </w:t>
      </w:r>
      <w:r w:rsidRPr="001C4A03">
        <w:t>ist ein Spezialschaumtampon, der kurz nach Einführung in den Enddarm weich und flexibel wird.</w:t>
      </w:r>
      <w:r w:rsidR="003F0689">
        <w:t xml:space="preserve"> </w:t>
      </w:r>
      <w:r w:rsidRPr="001C4A03">
        <w:t>Nach spätestens 12 Stunden ist er zu wechseln. Er hält bis zur Entfernung festen Stuhl zurück.</w:t>
      </w:r>
    </w:p>
    <w:p w14:paraId="501CE6B2" w14:textId="2C6480C6" w:rsidR="001C4A03" w:rsidRPr="001C4A03" w:rsidRDefault="001C4A03" w:rsidP="001C4A03">
      <w:r w:rsidRPr="001C4A03">
        <w:t>Der</w:t>
      </w:r>
      <w:r>
        <w:t xml:space="preserve"> </w:t>
      </w:r>
      <w:r w:rsidRPr="001C4A03">
        <w:rPr>
          <w:b/>
          <w:bCs/>
        </w:rPr>
        <w:t>Stuhlauffangbeutel</w:t>
      </w:r>
      <w:r>
        <w:t xml:space="preserve"> (Fäkalkollektor)</w:t>
      </w:r>
      <w:r w:rsidRPr="001C4A03">
        <w:t>) ist ein Auffangbeutel mit Hautschutzplatte, Klebefläche und geruchs- und flüssigkeitsdichter Folie (ähnlich dem Stomabeutel).</w:t>
      </w:r>
    </w:p>
    <w:p w14:paraId="7FCB2608" w14:textId="4F3B5910" w:rsidR="001C4A03" w:rsidRPr="001C4A03" w:rsidRDefault="001C4A03" w:rsidP="001C4A03">
      <w:r w:rsidRPr="001C4A03">
        <w:t>Zusätzlich zur Versorgung mit Inkontinenzhilfen gehören zur Unterstützung bei Stuhlinkontinenz</w:t>
      </w:r>
      <w:r>
        <w:t xml:space="preserve"> das Beckenbodentraining </w:t>
      </w:r>
      <w:r w:rsidRPr="001C4A03">
        <w:t>und die gezielte Darmentleerung nach</w:t>
      </w:r>
      <w:r>
        <w:t xml:space="preserve"> Darmmassage</w:t>
      </w:r>
      <w:r w:rsidRPr="001C4A03">
        <w:t>. Die Stuhlbeobachtung und Dokumentation im</w:t>
      </w:r>
      <w:r w:rsidR="003F0689">
        <w:t xml:space="preserve"> </w:t>
      </w:r>
      <w:r w:rsidRPr="001C4A03">
        <w:rPr>
          <w:b/>
          <w:bCs/>
        </w:rPr>
        <w:t>Stuhlprotokoll</w:t>
      </w:r>
      <w:r w:rsidR="003F0689">
        <w:t xml:space="preserve"> </w:t>
      </w:r>
      <w:r w:rsidRPr="001C4A03">
        <w:t>dienen der Einschätzung der Inkontinenzschwere, der Stuhldrangauslöser und der Stuhlbeobachtung. Das Stuhlprotokoll ist analog zum</w:t>
      </w:r>
      <w:r w:rsidR="003F0689">
        <w:t xml:space="preserve"> Miktionsprotokoll </w:t>
      </w:r>
      <w:r w:rsidRPr="001C4A03">
        <w:t>aufgebaut.</w:t>
      </w:r>
    </w:p>
    <w:p w14:paraId="3E6A5220" w14:textId="62C38861" w:rsidR="001C4A03" w:rsidRPr="003F0689" w:rsidRDefault="003F0689">
      <w:pPr>
        <w:rPr>
          <w:b/>
          <w:bCs/>
          <w:sz w:val="28"/>
          <w:szCs w:val="28"/>
        </w:rPr>
      </w:pPr>
      <w:r w:rsidRPr="003F0689">
        <w:rPr>
          <w:b/>
          <w:bCs/>
          <w:sz w:val="28"/>
          <w:szCs w:val="28"/>
        </w:rPr>
        <w:t>Darmspülungen</w:t>
      </w:r>
    </w:p>
    <w:p w14:paraId="0AE04790" w14:textId="58A609F8" w:rsidR="003F0689" w:rsidRPr="003F0689" w:rsidRDefault="003F0689" w:rsidP="003F0689">
      <w:r w:rsidRPr="003F0689">
        <w:t>Mit einer Darmspülung (Irrigation, ugs. Einlauf) mittels</w:t>
      </w:r>
      <w:r>
        <w:t xml:space="preserve"> Klistiers od</w:t>
      </w:r>
      <w:r w:rsidRPr="003F0689">
        <w:t xml:space="preserve">er </w:t>
      </w:r>
      <w:proofErr w:type="spellStart"/>
      <w:r w:rsidRPr="003F0689">
        <w:t>Irrigatorset</w:t>
      </w:r>
      <w:proofErr w:type="spellEnd"/>
      <w:r w:rsidRPr="003F0689">
        <w:t xml:space="preserve"> können</w:t>
      </w:r>
      <w:r>
        <w:t xml:space="preserve"> das Rektum </w:t>
      </w:r>
      <w:r w:rsidRPr="003F0689">
        <w:t xml:space="preserve">und angrenzende Kolonabschnitte gespült, gereinigt und stimuliert werden. Die Eingabe </w:t>
      </w:r>
      <w:r w:rsidRPr="003F0689">
        <w:lastRenderedPageBreak/>
        <w:t xml:space="preserve">der Flüssigkeit </w:t>
      </w:r>
      <w:r>
        <w:t xml:space="preserve">erfolgt retrograd </w:t>
      </w:r>
      <w:r w:rsidRPr="003F0689">
        <w:t>(rückläufig), d.</w:t>
      </w:r>
      <w:r w:rsidRPr="003F0689">
        <w:rPr>
          <w:rFonts w:ascii="Arial" w:hAnsi="Arial" w:cs="Arial"/>
        </w:rPr>
        <w:t> </w:t>
      </w:r>
      <w:r w:rsidRPr="003F0689">
        <w:t>h. entgegengesetzt der physiologischen Richtung bei Stuhlentleerung. Durch die F</w:t>
      </w:r>
      <w:r w:rsidRPr="003F0689">
        <w:rPr>
          <w:rFonts w:ascii="Aptos" w:hAnsi="Aptos" w:cs="Aptos"/>
        </w:rPr>
        <w:t>ü</w:t>
      </w:r>
      <w:r w:rsidRPr="003F0689">
        <w:t>llung des Rektums entsteht ein Dehnungsreiz und der physiologische Reiz zur Darmentleerung wird ausgel</w:t>
      </w:r>
      <w:r w:rsidRPr="003F0689">
        <w:rPr>
          <w:rFonts w:ascii="Aptos" w:hAnsi="Aptos" w:cs="Aptos"/>
        </w:rPr>
        <w:t>ö</w:t>
      </w:r>
      <w:r w:rsidRPr="003F0689">
        <w:t>st.</w:t>
      </w:r>
    </w:p>
    <w:p w14:paraId="59261316" w14:textId="04C5918F" w:rsidR="003F0689" w:rsidRPr="003F0689" w:rsidRDefault="003F0689" w:rsidP="003F0689">
      <w:r w:rsidRPr="003F0689">
        <w:rPr>
          <w:b/>
          <w:bCs/>
        </w:rPr>
        <w:t>Indikationen</w:t>
      </w:r>
      <w:r>
        <w:rPr>
          <w:b/>
          <w:bCs/>
        </w:rPr>
        <w:t xml:space="preserve"> </w:t>
      </w:r>
      <w:r w:rsidRPr="003F0689">
        <w:t>können sein:</w:t>
      </w:r>
    </w:p>
    <w:p w14:paraId="24B7208A" w14:textId="77777777" w:rsidR="003F0689" w:rsidRPr="003F0689" w:rsidRDefault="003F0689" w:rsidP="003F0689">
      <w:pPr>
        <w:numPr>
          <w:ilvl w:val="0"/>
          <w:numId w:val="7"/>
        </w:numPr>
      </w:pPr>
      <w:r w:rsidRPr="003F0689">
        <w:t>die Enddarmreinigung vor Operationen</w:t>
      </w:r>
    </w:p>
    <w:p w14:paraId="2068170A" w14:textId="5DC238A5" w:rsidR="003F0689" w:rsidRPr="003F0689" w:rsidRDefault="003F0689" w:rsidP="003F0689">
      <w:pPr>
        <w:numPr>
          <w:ilvl w:val="0"/>
          <w:numId w:val="7"/>
        </w:numPr>
      </w:pPr>
      <w:r w:rsidRPr="003F0689">
        <w:t>die Anregung des Darmes bei</w:t>
      </w:r>
      <w:r>
        <w:t xml:space="preserve"> Obstipation</w:t>
      </w:r>
    </w:p>
    <w:p w14:paraId="5448AA5B" w14:textId="094EB342" w:rsidR="003F0689" w:rsidRPr="003F0689" w:rsidRDefault="003F0689" w:rsidP="003F0689">
      <w:pPr>
        <w:numPr>
          <w:ilvl w:val="0"/>
          <w:numId w:val="7"/>
        </w:numPr>
      </w:pPr>
      <w:r w:rsidRPr="003F0689">
        <w:t>die Kontrastmittelgabe zur</w:t>
      </w:r>
      <w:r>
        <w:t xml:space="preserve"> Diagnostik</w:t>
      </w:r>
    </w:p>
    <w:p w14:paraId="4328D399" w14:textId="77777777" w:rsidR="003F0689" w:rsidRPr="003F0689" w:rsidRDefault="003F0689" w:rsidP="003F0689">
      <w:r w:rsidRPr="003F0689">
        <w:rPr>
          <w:b/>
          <w:bCs/>
        </w:rPr>
        <w:t>Kontraindikationen</w:t>
      </w:r>
      <w:r w:rsidRPr="003F0689">
        <w:t> für Einläufe und Darmspülungen sind</w:t>
      </w:r>
    </w:p>
    <w:p w14:paraId="104A7073" w14:textId="62618EAC" w:rsidR="003F0689" w:rsidRPr="003F0689" w:rsidRDefault="003F0689" w:rsidP="003F0689">
      <w:pPr>
        <w:numPr>
          <w:ilvl w:val="0"/>
          <w:numId w:val="8"/>
        </w:numPr>
      </w:pPr>
      <w:r w:rsidRPr="003F0689">
        <w:t>mechanischer</w:t>
      </w:r>
      <w:r>
        <w:t xml:space="preserve"> Ileus</w:t>
      </w:r>
    </w:p>
    <w:p w14:paraId="12C8936B" w14:textId="6F7DE491" w:rsidR="003F0689" w:rsidRPr="003F0689" w:rsidRDefault="003F0689" w:rsidP="003F0689">
      <w:pPr>
        <w:numPr>
          <w:ilvl w:val="0"/>
          <w:numId w:val="8"/>
        </w:numPr>
      </w:pPr>
      <w:r w:rsidRPr="003F0689">
        <w:t>akute</w:t>
      </w:r>
      <w:r>
        <w:t xml:space="preserve"> Peritonitis</w:t>
      </w:r>
    </w:p>
    <w:p w14:paraId="33CC26B8" w14:textId="2145CF69" w:rsidR="003F0689" w:rsidRPr="003F0689" w:rsidRDefault="003F0689" w:rsidP="003F0689">
      <w:pPr>
        <w:numPr>
          <w:ilvl w:val="0"/>
          <w:numId w:val="8"/>
        </w:numPr>
      </w:pPr>
      <w:r>
        <w:t xml:space="preserve">Fisteln </w:t>
      </w:r>
      <w:r w:rsidRPr="003F0689">
        <w:t>in Darm oder</w:t>
      </w:r>
      <w:hyperlink r:id="rId8" w:tooltip="Lexikon: Vagina" w:history="1"/>
      <w:r>
        <w:t xml:space="preserve"> Vagina</w:t>
      </w:r>
    </w:p>
    <w:p w14:paraId="39F6392F" w14:textId="77777777" w:rsidR="003F0689" w:rsidRPr="003F0689" w:rsidRDefault="003F0689" w:rsidP="003F0689">
      <w:pPr>
        <w:numPr>
          <w:ilvl w:val="0"/>
          <w:numId w:val="8"/>
        </w:numPr>
      </w:pPr>
      <w:r w:rsidRPr="003F0689">
        <w:t>Darmperforation</w:t>
      </w:r>
    </w:p>
    <w:p w14:paraId="35FC9FD5" w14:textId="77777777" w:rsidR="003F0689" w:rsidRPr="003F0689" w:rsidRDefault="003F0689" w:rsidP="003F0689">
      <w:pPr>
        <w:numPr>
          <w:ilvl w:val="0"/>
          <w:numId w:val="8"/>
        </w:numPr>
      </w:pPr>
      <w:r w:rsidRPr="003F0689">
        <w:t>Frühschwangerschaft</w:t>
      </w:r>
    </w:p>
    <w:p w14:paraId="378C8D77" w14:textId="77777777" w:rsidR="003F0689" w:rsidRPr="003F0689" w:rsidRDefault="003F0689" w:rsidP="003F0689">
      <w:pPr>
        <w:numPr>
          <w:ilvl w:val="0"/>
          <w:numId w:val="8"/>
        </w:numPr>
      </w:pPr>
      <w:r w:rsidRPr="003F0689">
        <w:t>drohende Früh- oder Fehlgeburt</w:t>
      </w:r>
    </w:p>
    <w:p w14:paraId="62AAAE98" w14:textId="41AA8E95" w:rsidR="002A3854" w:rsidRDefault="003F0689" w:rsidP="002A3854">
      <w:pPr>
        <w:numPr>
          <w:ilvl w:val="0"/>
          <w:numId w:val="8"/>
        </w:numPr>
      </w:pPr>
      <w:r w:rsidRPr="003F0689">
        <w:t>postoperative Darmatonie</w:t>
      </w:r>
    </w:p>
    <w:p w14:paraId="1ACAB1B1" w14:textId="77777777" w:rsidR="002A3854" w:rsidRDefault="002A3854" w:rsidP="002A3854">
      <w:pPr>
        <w:ind w:left="360"/>
      </w:pPr>
    </w:p>
    <w:p w14:paraId="5E322346" w14:textId="7517A9AC" w:rsidR="004C0385" w:rsidRPr="004C0385" w:rsidRDefault="004C0385" w:rsidP="006A6B8F">
      <w:pPr>
        <w:jc w:val="both"/>
        <w:rPr>
          <w:b/>
          <w:bCs/>
          <w:sz w:val="28"/>
          <w:szCs w:val="28"/>
        </w:rPr>
      </w:pPr>
      <w:r w:rsidRPr="004C0385">
        <w:rPr>
          <w:b/>
          <w:bCs/>
          <w:sz w:val="28"/>
          <w:szCs w:val="28"/>
        </w:rPr>
        <w:t>Unterstützung bei Diarrhö</w:t>
      </w:r>
      <w:r w:rsidR="006A3A3E">
        <w:rPr>
          <w:b/>
          <w:bCs/>
          <w:sz w:val="28"/>
          <w:szCs w:val="28"/>
        </w:rPr>
        <w:t xml:space="preserve"> (Durchfall)</w:t>
      </w:r>
    </w:p>
    <w:p w14:paraId="03DAAEC3" w14:textId="320B9451" w:rsidR="004C0385" w:rsidRPr="004C0385" w:rsidRDefault="004C0385" w:rsidP="006A6B8F">
      <w:pPr>
        <w:ind w:left="360"/>
        <w:jc w:val="both"/>
      </w:pPr>
      <w:r w:rsidRPr="004C0385">
        <w:t>Von </w:t>
      </w:r>
      <w:r w:rsidR="00666D1D" w:rsidRPr="006A6B8F">
        <w:t>Diarrhö</w:t>
      </w:r>
      <w:r w:rsidRPr="004C0385">
        <w:t> (Durchfall) spricht man bei mehr als drei dünnflüssigen Stuhlgängen in 24 Stunden. Durchfall kann folgende Ursachen haben:</w:t>
      </w:r>
    </w:p>
    <w:p w14:paraId="776F277C" w14:textId="0933D020" w:rsidR="004C0385" w:rsidRPr="004C0385" w:rsidRDefault="00B9147F" w:rsidP="006A6B8F">
      <w:pPr>
        <w:numPr>
          <w:ilvl w:val="1"/>
          <w:numId w:val="9"/>
        </w:numPr>
        <w:jc w:val="both"/>
      </w:pPr>
      <w:r w:rsidRPr="006A6B8F">
        <w:t>Infektion</w:t>
      </w:r>
      <w:r w:rsidR="004C0385" w:rsidRPr="004C0385">
        <w:t> im Magen-Darm-Trakt (z.</w:t>
      </w:r>
      <w:r w:rsidR="004C0385" w:rsidRPr="004C0385">
        <w:rPr>
          <w:rFonts w:ascii="Arial" w:hAnsi="Arial" w:cs="Arial"/>
        </w:rPr>
        <w:t> </w:t>
      </w:r>
      <w:r w:rsidR="004C0385" w:rsidRPr="004C0385">
        <w:t>B. mit Bakterien,</w:t>
      </w:r>
      <w:r w:rsidR="004C0385" w:rsidRPr="004C0385">
        <w:rPr>
          <w:rFonts w:cs="Aptos"/>
        </w:rPr>
        <w:t> </w:t>
      </w:r>
      <w:r w:rsidR="00666D1D" w:rsidRPr="006A6B8F">
        <w:rPr>
          <w:rFonts w:cs="Aptos"/>
        </w:rPr>
        <w:t>Parasiten,</w:t>
      </w:r>
      <w:r w:rsidR="004C0385" w:rsidRPr="004C0385">
        <w:t xml:space="preserve"> Viren)</w:t>
      </w:r>
    </w:p>
    <w:p w14:paraId="7E4AA62C" w14:textId="77777777" w:rsidR="004C0385" w:rsidRPr="004C0385" w:rsidRDefault="004C0385" w:rsidP="006A6B8F">
      <w:pPr>
        <w:numPr>
          <w:ilvl w:val="1"/>
          <w:numId w:val="9"/>
        </w:numPr>
        <w:jc w:val="both"/>
      </w:pPr>
      <w:r w:rsidRPr="004C0385">
        <w:t>Unverträglichkeit von Nahrungsmitteln (z.</w:t>
      </w:r>
      <w:r w:rsidRPr="004C0385">
        <w:rPr>
          <w:rFonts w:ascii="Arial" w:hAnsi="Arial" w:cs="Arial"/>
        </w:rPr>
        <w:t> </w:t>
      </w:r>
      <w:r w:rsidRPr="004C0385">
        <w:t>B. stark fettiges Essen, scharfes Essen)</w:t>
      </w:r>
    </w:p>
    <w:p w14:paraId="10D5D601" w14:textId="77777777" w:rsidR="004C0385" w:rsidRPr="004C0385" w:rsidRDefault="004C0385" w:rsidP="006A6B8F">
      <w:pPr>
        <w:numPr>
          <w:ilvl w:val="1"/>
          <w:numId w:val="9"/>
        </w:numPr>
        <w:jc w:val="both"/>
      </w:pPr>
      <w:r w:rsidRPr="004C0385">
        <w:t>Nebenwirkung von Medikamenten (z.</w:t>
      </w:r>
      <w:r w:rsidRPr="004C0385">
        <w:rPr>
          <w:rFonts w:ascii="Arial" w:hAnsi="Arial" w:cs="Arial"/>
        </w:rPr>
        <w:t> </w:t>
      </w:r>
      <w:r w:rsidRPr="004C0385">
        <w:t>B. bei Antibiotikaeinnahme)</w:t>
      </w:r>
    </w:p>
    <w:p w14:paraId="767FAD1E" w14:textId="28C5F374" w:rsidR="004C0385" w:rsidRPr="004C0385" w:rsidRDefault="004C0385" w:rsidP="006A6B8F">
      <w:pPr>
        <w:ind w:left="360"/>
        <w:jc w:val="both"/>
      </w:pPr>
      <w:r w:rsidRPr="004C0385">
        <w:t xml:space="preserve">Diarrhö kann von schmerzhaften </w:t>
      </w:r>
      <w:proofErr w:type="spellStart"/>
      <w:r w:rsidRPr="004C0385">
        <w:t>Tenesmen</w:t>
      </w:r>
      <w:proofErr w:type="spellEnd"/>
      <w:r w:rsidRPr="004C0385">
        <w:t xml:space="preserve"> (Bauchkrämpfe) begleitet sein. Bei anhaltend starken Durchfällen können </w:t>
      </w:r>
      <w:r w:rsidR="00B9147F" w:rsidRPr="006A6B8F">
        <w:t xml:space="preserve">Exsikkose </w:t>
      </w:r>
      <w:r w:rsidRPr="004C0385">
        <w:t>(Austrocknung), Elektrolytverschiebung und Mazerationen im Intimbereich auftreten. Alte Menschen, Kleinkinder, Säuglinge und abwehrgeschwächte Pflegebedürftige sind diesbezüglich besonders gefährdet und bedürfen besonderer Beobachtung und ggf. schneller unterstützender Maßnahmen:</w:t>
      </w:r>
    </w:p>
    <w:p w14:paraId="1B21400D" w14:textId="3645C5DA" w:rsidR="004C0385" w:rsidRPr="004C0385" w:rsidRDefault="004C0385" w:rsidP="006A6B8F">
      <w:pPr>
        <w:numPr>
          <w:ilvl w:val="1"/>
          <w:numId w:val="9"/>
        </w:numPr>
        <w:jc w:val="both"/>
      </w:pPr>
      <w:r w:rsidRPr="004C0385">
        <w:t>beim Toilettengang diskret unterstützen; </w:t>
      </w:r>
      <w:r w:rsidR="00B9147F" w:rsidRPr="006A6B8F">
        <w:t>Sturzprävention</w:t>
      </w:r>
      <w:r w:rsidRPr="004C0385">
        <w:t> bei alten Menschen </w:t>
      </w:r>
      <w:r w:rsidR="00B9147F" w:rsidRPr="006A6B8F">
        <w:t>bzw.</w:t>
      </w:r>
      <w:hyperlink r:id="rId9" w:tooltip="Lexikon: bzw." w:history="1"/>
      <w:r w:rsidRPr="004C0385">
        <w:t> schwerer Diarrhö durchführen</w:t>
      </w:r>
    </w:p>
    <w:p w14:paraId="65A2F8C7" w14:textId="77777777" w:rsidR="004C0385" w:rsidRPr="004C0385" w:rsidRDefault="004C0385" w:rsidP="006A6B8F">
      <w:pPr>
        <w:numPr>
          <w:ilvl w:val="1"/>
          <w:numId w:val="9"/>
        </w:numPr>
        <w:jc w:val="both"/>
      </w:pPr>
      <w:r w:rsidRPr="004C0385">
        <w:t>Intimpflege nach jedem Toilettengang mit klarem Wasser durchführen, wunde Hautstellen mit wasserabweisenden Cremes pflegen</w:t>
      </w:r>
    </w:p>
    <w:p w14:paraId="382EE421" w14:textId="5AEF29A7" w:rsidR="004C0385" w:rsidRPr="004C0385" w:rsidRDefault="00B9147F" w:rsidP="006A6B8F">
      <w:pPr>
        <w:numPr>
          <w:ilvl w:val="1"/>
          <w:numId w:val="9"/>
        </w:numPr>
        <w:jc w:val="both"/>
      </w:pPr>
      <w:r w:rsidRPr="006A6B8F">
        <w:t>Flüssigkeitsbil</w:t>
      </w:r>
      <w:r w:rsidR="000D70FD" w:rsidRPr="006A6B8F">
        <w:t>anz</w:t>
      </w:r>
      <w:r w:rsidR="004C0385" w:rsidRPr="004C0385">
        <w:t> erstellen, dünnflüssige Stuhlausscheidungen zählen mit zur ausgeschiedenen Flüssigkeitsmenge</w:t>
      </w:r>
    </w:p>
    <w:p w14:paraId="79F286CC" w14:textId="7839B5C9" w:rsidR="004C0385" w:rsidRPr="004C0385" w:rsidRDefault="004C0385" w:rsidP="006A6B8F">
      <w:pPr>
        <w:numPr>
          <w:ilvl w:val="1"/>
          <w:numId w:val="9"/>
        </w:numPr>
        <w:jc w:val="both"/>
      </w:pPr>
      <w:r w:rsidRPr="004C0385">
        <w:t>beobachten der </w:t>
      </w:r>
      <w:r w:rsidR="000D70FD" w:rsidRPr="006A6B8F">
        <w:t>Vitalzeichen</w:t>
      </w:r>
      <w:r w:rsidRPr="004C0385">
        <w:t xml:space="preserve"> des </w:t>
      </w:r>
      <w:proofErr w:type="spellStart"/>
      <w:r w:rsidR="000D70FD" w:rsidRPr="006A6B8F">
        <w:t>Hauttugors</w:t>
      </w:r>
      <w:proofErr w:type="spellEnd"/>
      <w:r w:rsidRPr="004C0385">
        <w:t> </w:t>
      </w:r>
      <w:r w:rsidR="000D70FD" w:rsidRPr="006A6B8F">
        <w:t xml:space="preserve">(Spannung der Haut) </w:t>
      </w:r>
      <w:r w:rsidRPr="004C0385">
        <w:t>und des Allgemeinzustandes</w:t>
      </w:r>
    </w:p>
    <w:p w14:paraId="682A44E1" w14:textId="19FF5246" w:rsidR="004C0385" w:rsidRPr="004C0385" w:rsidRDefault="004C0385" w:rsidP="006A6B8F">
      <w:pPr>
        <w:numPr>
          <w:ilvl w:val="1"/>
          <w:numId w:val="9"/>
        </w:numPr>
        <w:jc w:val="both"/>
      </w:pPr>
      <w:r w:rsidRPr="004C0385">
        <w:lastRenderedPageBreak/>
        <w:t>für ausreichende Flüssigkeitszufuhr sorgen, geeignete Getränke sind schwarzer Tee, Pfefferminztee, ggf. nach ärztlicher Verordnung </w:t>
      </w:r>
      <w:r w:rsidR="006A6B8F" w:rsidRPr="006A6B8F">
        <w:t xml:space="preserve">Infusionsgabe </w:t>
      </w:r>
    </w:p>
    <w:p w14:paraId="38A166D9" w14:textId="77777777" w:rsidR="004C0385" w:rsidRPr="004C0385" w:rsidRDefault="004C0385" w:rsidP="006A6B8F">
      <w:pPr>
        <w:numPr>
          <w:ilvl w:val="1"/>
          <w:numId w:val="9"/>
        </w:numPr>
        <w:jc w:val="both"/>
      </w:pPr>
      <w:r w:rsidRPr="004C0385">
        <w:t>zur Stabilisierung des Elektrolythaushaltes für eine ausreichende Salzzufuhr sorgen, z.</w:t>
      </w:r>
      <w:r w:rsidRPr="004C0385">
        <w:rPr>
          <w:rFonts w:ascii="Arial" w:hAnsi="Arial" w:cs="Arial"/>
        </w:rPr>
        <w:t> </w:t>
      </w:r>
      <w:r w:rsidRPr="004C0385">
        <w:t>B. mit Salzstangen, Elektrolytpr</w:t>
      </w:r>
      <w:r w:rsidRPr="004C0385">
        <w:rPr>
          <w:rFonts w:cs="Aptos"/>
        </w:rPr>
        <w:t>ä</w:t>
      </w:r>
      <w:r w:rsidRPr="004C0385">
        <w:t xml:space="preserve">paraten, ggf. nach </w:t>
      </w:r>
      <w:r w:rsidRPr="004C0385">
        <w:rPr>
          <w:rFonts w:cs="Aptos"/>
        </w:rPr>
        <w:t>ä</w:t>
      </w:r>
      <w:r w:rsidRPr="004C0385">
        <w:t>rztlicher Verordnung Infusionsgabe</w:t>
      </w:r>
    </w:p>
    <w:p w14:paraId="22F35705" w14:textId="77777777" w:rsidR="004C0385" w:rsidRPr="004C0385" w:rsidRDefault="004C0385" w:rsidP="006A6B8F">
      <w:pPr>
        <w:numPr>
          <w:ilvl w:val="1"/>
          <w:numId w:val="9"/>
        </w:numPr>
        <w:jc w:val="both"/>
      </w:pPr>
      <w:r w:rsidRPr="004C0385">
        <w:t>für den Kostaufbau geeignete Nahrungsmittel sind: Zwieback, gedünstete Möhren ohne Fett, Banane, Reisschleim mit Wasser zubereitet</w:t>
      </w:r>
    </w:p>
    <w:p w14:paraId="6C5E1987" w14:textId="77777777" w:rsidR="004C0385" w:rsidRPr="004C0385" w:rsidRDefault="004C0385" w:rsidP="006A6B8F">
      <w:pPr>
        <w:numPr>
          <w:ilvl w:val="1"/>
          <w:numId w:val="9"/>
        </w:numPr>
        <w:jc w:val="both"/>
      </w:pPr>
      <w:r w:rsidRPr="004C0385">
        <w:t>Milch und Milchprodukte, Fette und Fleisch meiden; Milchsäurebakterien stören das bereits instabile Bakterienmilieu im Dickdarm und verhindern die Wasserresorption. Fettiges Essen führt zur Abgabe von Pankreasenzymen, die die gereizte und irritierte Darmschleimhaut schädigen. Zudem können diese Nahrungsmittel noch nicht wieder resorbiert werden und wirken dadurch wasserbindend und abführend.</w:t>
      </w:r>
    </w:p>
    <w:p w14:paraId="0A363500" w14:textId="77777777" w:rsidR="002A3854" w:rsidRPr="006A6B8F" w:rsidRDefault="002A3854" w:rsidP="006A6B8F">
      <w:pPr>
        <w:ind w:left="360"/>
        <w:jc w:val="both"/>
      </w:pPr>
    </w:p>
    <w:p w14:paraId="3E0B0AAF" w14:textId="77777777" w:rsidR="002A3854" w:rsidRPr="006A6B8F" w:rsidRDefault="002A3854" w:rsidP="006A6B8F">
      <w:pPr>
        <w:ind w:left="360"/>
        <w:jc w:val="both"/>
      </w:pPr>
    </w:p>
    <w:p w14:paraId="6676EF58" w14:textId="77777777" w:rsidR="003F0689" w:rsidRPr="006A6B8F" w:rsidRDefault="003F0689" w:rsidP="006A6B8F">
      <w:pPr>
        <w:jc w:val="both"/>
      </w:pPr>
    </w:p>
    <w:sectPr w:rsidR="003F0689" w:rsidRPr="006A6B8F">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9D94" w14:textId="77777777" w:rsidR="00B33B14" w:rsidRDefault="00B33B14" w:rsidP="00B33B14">
      <w:pPr>
        <w:spacing w:after="0" w:line="240" w:lineRule="auto"/>
      </w:pPr>
      <w:r>
        <w:separator/>
      </w:r>
    </w:p>
  </w:endnote>
  <w:endnote w:type="continuationSeparator" w:id="0">
    <w:p w14:paraId="6C90087C" w14:textId="77777777" w:rsidR="00B33B14" w:rsidRDefault="00B33B14" w:rsidP="00B3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85093"/>
      <w:docPartObj>
        <w:docPartGallery w:val="Page Numbers (Bottom of Page)"/>
        <w:docPartUnique/>
      </w:docPartObj>
    </w:sdtPr>
    <w:sdtContent>
      <w:p w14:paraId="32187411" w14:textId="3E96D414" w:rsidR="005D083E" w:rsidRDefault="005D083E">
        <w:pPr>
          <w:pStyle w:val="Fuzeile"/>
          <w:jc w:val="right"/>
        </w:pPr>
        <w:r>
          <w:fldChar w:fldCharType="begin"/>
        </w:r>
        <w:r>
          <w:instrText>PAGE   \* MERGEFORMAT</w:instrText>
        </w:r>
        <w:r>
          <w:fldChar w:fldCharType="separate"/>
        </w:r>
        <w:r>
          <w:t>2</w:t>
        </w:r>
        <w:r>
          <w:fldChar w:fldCharType="end"/>
        </w:r>
      </w:p>
    </w:sdtContent>
  </w:sdt>
  <w:p w14:paraId="3A58AB30" w14:textId="77777777" w:rsidR="005D083E" w:rsidRDefault="005D08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8194" w14:textId="77777777" w:rsidR="00B33B14" w:rsidRDefault="00B33B14" w:rsidP="00B33B14">
      <w:pPr>
        <w:spacing w:after="0" w:line="240" w:lineRule="auto"/>
      </w:pPr>
      <w:r>
        <w:separator/>
      </w:r>
    </w:p>
  </w:footnote>
  <w:footnote w:type="continuationSeparator" w:id="0">
    <w:p w14:paraId="371BF23E" w14:textId="77777777" w:rsidR="00B33B14" w:rsidRDefault="00B33B14" w:rsidP="00B3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1271"/>
      <w:gridCol w:w="6237"/>
      <w:gridCol w:w="1554"/>
    </w:tblGrid>
    <w:tr w:rsidR="00B33B14" w:rsidRPr="00B73511" w14:paraId="492D6B70" w14:textId="77777777" w:rsidTr="00F56DC8">
      <w:tc>
        <w:tcPr>
          <w:tcW w:w="1271" w:type="dxa"/>
        </w:tcPr>
        <w:p w14:paraId="0FE97993" w14:textId="77777777" w:rsidR="00B33B14" w:rsidRPr="00B73511" w:rsidRDefault="00B33B14" w:rsidP="00B33B14">
          <w:pPr>
            <w:pStyle w:val="Kopfzeile"/>
            <w:rPr>
              <w:rFonts w:cstheme="minorHAnsi"/>
            </w:rPr>
          </w:pPr>
          <w:r w:rsidRPr="00B73511">
            <w:rPr>
              <w:rFonts w:cstheme="minorHAnsi"/>
            </w:rPr>
            <w:t>GKPH</w:t>
          </w:r>
        </w:p>
      </w:tc>
      <w:tc>
        <w:tcPr>
          <w:tcW w:w="6237" w:type="dxa"/>
        </w:tcPr>
        <w:p w14:paraId="0AE9ABD6" w14:textId="77777777" w:rsidR="00B33B14" w:rsidRPr="00B73511" w:rsidRDefault="00B33B14" w:rsidP="00B33B14">
          <w:pPr>
            <w:pStyle w:val="Kopfzeile"/>
            <w:rPr>
              <w:rFonts w:cstheme="minorHAnsi"/>
            </w:rPr>
          </w:pPr>
        </w:p>
      </w:tc>
      <w:tc>
        <w:tcPr>
          <w:tcW w:w="1554" w:type="dxa"/>
        </w:tcPr>
        <w:p w14:paraId="4171E365" w14:textId="77777777" w:rsidR="00B33B14" w:rsidRPr="00B73511" w:rsidRDefault="00B33B14" w:rsidP="00B33B14">
          <w:pPr>
            <w:pStyle w:val="Kopfzeile"/>
            <w:rPr>
              <w:rFonts w:cstheme="minorHAnsi"/>
            </w:rPr>
          </w:pPr>
          <w:r>
            <w:rPr>
              <w:rFonts w:cstheme="minorHAnsi"/>
            </w:rPr>
            <w:t>Datum</w:t>
          </w:r>
        </w:p>
      </w:tc>
    </w:tr>
    <w:tr w:rsidR="00B33B14" w:rsidRPr="00B73511" w14:paraId="51135CBF" w14:textId="77777777" w:rsidTr="00F56DC8">
      <w:tc>
        <w:tcPr>
          <w:tcW w:w="1271" w:type="dxa"/>
        </w:tcPr>
        <w:p w14:paraId="6E7F880B" w14:textId="77777777" w:rsidR="00B33B14" w:rsidRPr="00B73511" w:rsidRDefault="00B33B14" w:rsidP="00B33B14">
          <w:pPr>
            <w:pStyle w:val="Kopfzeile"/>
            <w:rPr>
              <w:rFonts w:cstheme="minorHAnsi"/>
            </w:rPr>
          </w:pPr>
          <w:r w:rsidRPr="00B73511">
            <w:rPr>
              <w:rFonts w:cstheme="minorHAnsi"/>
            </w:rPr>
            <w:t>LF 3B k</w:t>
          </w:r>
        </w:p>
      </w:tc>
      <w:tc>
        <w:tcPr>
          <w:tcW w:w="6237" w:type="dxa"/>
        </w:tcPr>
        <w:p w14:paraId="2D92FE77" w14:textId="77777777" w:rsidR="00B33B14" w:rsidRPr="00B73511" w:rsidRDefault="00B33B14" w:rsidP="00B33B14">
          <w:pPr>
            <w:pStyle w:val="Kopfzeile"/>
            <w:rPr>
              <w:rFonts w:cstheme="minorHAnsi"/>
            </w:rPr>
          </w:pPr>
          <w:r>
            <w:rPr>
              <w:rFonts w:cstheme="minorHAnsi"/>
            </w:rPr>
            <w:t>Phänomen Harninkontinenz</w:t>
          </w:r>
        </w:p>
      </w:tc>
      <w:tc>
        <w:tcPr>
          <w:tcW w:w="1554" w:type="dxa"/>
        </w:tcPr>
        <w:p w14:paraId="7B38E76E" w14:textId="77777777" w:rsidR="00B33B14" w:rsidRPr="00B73511" w:rsidRDefault="00B33B14" w:rsidP="00B33B14">
          <w:pPr>
            <w:pStyle w:val="Kopfzeile"/>
            <w:rPr>
              <w:rFonts w:cstheme="minorHAnsi"/>
            </w:rPr>
          </w:pPr>
        </w:p>
      </w:tc>
    </w:tr>
  </w:tbl>
  <w:p w14:paraId="61D48FAD" w14:textId="77777777" w:rsidR="00B33B14" w:rsidRDefault="00B33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2573"/>
    <w:multiLevelType w:val="multilevel"/>
    <w:tmpl w:val="BD7C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E6185"/>
    <w:multiLevelType w:val="multilevel"/>
    <w:tmpl w:val="CED8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D6683E"/>
    <w:multiLevelType w:val="multilevel"/>
    <w:tmpl w:val="A374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4184D"/>
    <w:multiLevelType w:val="multilevel"/>
    <w:tmpl w:val="DADE3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77EEC"/>
    <w:multiLevelType w:val="multilevel"/>
    <w:tmpl w:val="D3B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AE3955"/>
    <w:multiLevelType w:val="multilevel"/>
    <w:tmpl w:val="856A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635073"/>
    <w:multiLevelType w:val="multilevel"/>
    <w:tmpl w:val="1EF4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A60CF"/>
    <w:multiLevelType w:val="multilevel"/>
    <w:tmpl w:val="3CC8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497103"/>
    <w:multiLevelType w:val="multilevel"/>
    <w:tmpl w:val="7B7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B7064A"/>
    <w:multiLevelType w:val="multilevel"/>
    <w:tmpl w:val="05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9A3D46"/>
    <w:multiLevelType w:val="multilevel"/>
    <w:tmpl w:val="E0EC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8549296">
    <w:abstractNumId w:val="10"/>
  </w:num>
  <w:num w:numId="2" w16cid:durableId="400449160">
    <w:abstractNumId w:val="5"/>
  </w:num>
  <w:num w:numId="3" w16cid:durableId="777221188">
    <w:abstractNumId w:val="7"/>
  </w:num>
  <w:num w:numId="4" w16cid:durableId="2091612231">
    <w:abstractNumId w:val="4"/>
  </w:num>
  <w:num w:numId="5" w16cid:durableId="511799542">
    <w:abstractNumId w:val="2"/>
  </w:num>
  <w:num w:numId="6" w16cid:durableId="1223982097">
    <w:abstractNumId w:val="8"/>
  </w:num>
  <w:num w:numId="7" w16cid:durableId="2107654655">
    <w:abstractNumId w:val="6"/>
  </w:num>
  <w:num w:numId="8" w16cid:durableId="2042197515">
    <w:abstractNumId w:val="9"/>
  </w:num>
  <w:num w:numId="9" w16cid:durableId="1380936281">
    <w:abstractNumId w:val="3"/>
  </w:num>
  <w:num w:numId="10" w16cid:durableId="1726878417">
    <w:abstractNumId w:val="0"/>
  </w:num>
  <w:num w:numId="11" w16cid:durableId="205010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03"/>
    <w:rsid w:val="000D70FD"/>
    <w:rsid w:val="001C4A03"/>
    <w:rsid w:val="00212E8A"/>
    <w:rsid w:val="00216BBE"/>
    <w:rsid w:val="00267F46"/>
    <w:rsid w:val="002A3854"/>
    <w:rsid w:val="003249AC"/>
    <w:rsid w:val="003F0689"/>
    <w:rsid w:val="00437895"/>
    <w:rsid w:val="004C0385"/>
    <w:rsid w:val="004F6EA7"/>
    <w:rsid w:val="005D083E"/>
    <w:rsid w:val="0064004E"/>
    <w:rsid w:val="00666D1D"/>
    <w:rsid w:val="006A3A3E"/>
    <w:rsid w:val="006A6B8F"/>
    <w:rsid w:val="007420F8"/>
    <w:rsid w:val="00765062"/>
    <w:rsid w:val="0077423D"/>
    <w:rsid w:val="0078162E"/>
    <w:rsid w:val="00821BE0"/>
    <w:rsid w:val="00832CD3"/>
    <w:rsid w:val="008D34D9"/>
    <w:rsid w:val="00AA59BF"/>
    <w:rsid w:val="00B33B14"/>
    <w:rsid w:val="00B9147F"/>
    <w:rsid w:val="00C12D8A"/>
    <w:rsid w:val="00DA788D"/>
    <w:rsid w:val="00E60EBE"/>
    <w:rsid w:val="00F86E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7CF1"/>
  <w15:chartTrackingRefBased/>
  <w15:docId w15:val="{BDDC36A7-3A19-4CF9-A2A1-4F167170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4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4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4A0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4A0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4A0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4A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4A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4A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4A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4A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4A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4A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4A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4A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4A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4A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4A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4A03"/>
    <w:rPr>
      <w:rFonts w:eastAsiaTheme="majorEastAsia" w:cstheme="majorBidi"/>
      <w:color w:val="272727" w:themeColor="text1" w:themeTint="D8"/>
    </w:rPr>
  </w:style>
  <w:style w:type="paragraph" w:styleId="Titel">
    <w:name w:val="Title"/>
    <w:basedOn w:val="Standard"/>
    <w:next w:val="Standard"/>
    <w:link w:val="TitelZchn"/>
    <w:uiPriority w:val="10"/>
    <w:qFormat/>
    <w:rsid w:val="001C4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4A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4A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4A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4A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4A03"/>
    <w:rPr>
      <w:i/>
      <w:iCs/>
      <w:color w:val="404040" w:themeColor="text1" w:themeTint="BF"/>
    </w:rPr>
  </w:style>
  <w:style w:type="paragraph" w:styleId="Listenabsatz">
    <w:name w:val="List Paragraph"/>
    <w:basedOn w:val="Standard"/>
    <w:uiPriority w:val="34"/>
    <w:qFormat/>
    <w:rsid w:val="001C4A03"/>
    <w:pPr>
      <w:ind w:left="720"/>
      <w:contextualSpacing/>
    </w:pPr>
  </w:style>
  <w:style w:type="character" w:styleId="IntensiveHervorhebung">
    <w:name w:val="Intense Emphasis"/>
    <w:basedOn w:val="Absatz-Standardschriftart"/>
    <w:uiPriority w:val="21"/>
    <w:qFormat/>
    <w:rsid w:val="001C4A03"/>
    <w:rPr>
      <w:i/>
      <w:iCs/>
      <w:color w:val="0F4761" w:themeColor="accent1" w:themeShade="BF"/>
    </w:rPr>
  </w:style>
  <w:style w:type="paragraph" w:styleId="IntensivesZitat">
    <w:name w:val="Intense Quote"/>
    <w:basedOn w:val="Standard"/>
    <w:next w:val="Standard"/>
    <w:link w:val="IntensivesZitatZchn"/>
    <w:uiPriority w:val="30"/>
    <w:qFormat/>
    <w:rsid w:val="001C4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4A03"/>
    <w:rPr>
      <w:i/>
      <w:iCs/>
      <w:color w:val="0F4761" w:themeColor="accent1" w:themeShade="BF"/>
    </w:rPr>
  </w:style>
  <w:style w:type="character" w:styleId="IntensiverVerweis">
    <w:name w:val="Intense Reference"/>
    <w:basedOn w:val="Absatz-Standardschriftart"/>
    <w:uiPriority w:val="32"/>
    <w:qFormat/>
    <w:rsid w:val="001C4A03"/>
    <w:rPr>
      <w:b/>
      <w:bCs/>
      <w:smallCaps/>
      <w:color w:val="0F4761" w:themeColor="accent1" w:themeShade="BF"/>
      <w:spacing w:val="5"/>
    </w:rPr>
  </w:style>
  <w:style w:type="character" w:styleId="Hyperlink">
    <w:name w:val="Hyperlink"/>
    <w:basedOn w:val="Absatz-Standardschriftart"/>
    <w:uiPriority w:val="99"/>
    <w:unhideWhenUsed/>
    <w:rsid w:val="001C4A03"/>
    <w:rPr>
      <w:color w:val="467886" w:themeColor="hyperlink"/>
      <w:u w:val="single"/>
    </w:rPr>
  </w:style>
  <w:style w:type="character" w:styleId="NichtaufgelsteErwhnung">
    <w:name w:val="Unresolved Mention"/>
    <w:basedOn w:val="Absatz-Standardschriftart"/>
    <w:uiPriority w:val="99"/>
    <w:semiHidden/>
    <w:unhideWhenUsed/>
    <w:rsid w:val="001C4A03"/>
    <w:rPr>
      <w:color w:val="605E5C"/>
      <w:shd w:val="clear" w:color="auto" w:fill="E1DFDD"/>
    </w:rPr>
  </w:style>
  <w:style w:type="paragraph" w:styleId="Kopfzeile">
    <w:name w:val="header"/>
    <w:basedOn w:val="Standard"/>
    <w:link w:val="KopfzeileZchn"/>
    <w:uiPriority w:val="99"/>
    <w:unhideWhenUsed/>
    <w:rsid w:val="00B33B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3B14"/>
  </w:style>
  <w:style w:type="paragraph" w:styleId="Fuzeile">
    <w:name w:val="footer"/>
    <w:basedOn w:val="Standard"/>
    <w:link w:val="FuzeileZchn"/>
    <w:uiPriority w:val="99"/>
    <w:unhideWhenUsed/>
    <w:rsid w:val="00B33B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3B14"/>
  </w:style>
  <w:style w:type="table" w:styleId="Tabellenraster">
    <w:name w:val="Table Grid"/>
    <w:basedOn w:val="NormaleTabelle"/>
    <w:uiPriority w:val="39"/>
    <w:rsid w:val="00B33B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358">
      <w:bodyDiv w:val="1"/>
      <w:marLeft w:val="0"/>
      <w:marRight w:val="0"/>
      <w:marTop w:val="0"/>
      <w:marBottom w:val="0"/>
      <w:divBdr>
        <w:top w:val="none" w:sz="0" w:space="0" w:color="auto"/>
        <w:left w:val="none" w:sz="0" w:space="0" w:color="auto"/>
        <w:bottom w:val="none" w:sz="0" w:space="0" w:color="auto"/>
        <w:right w:val="none" w:sz="0" w:space="0" w:color="auto"/>
      </w:divBdr>
      <w:divsChild>
        <w:div w:id="378944469">
          <w:marLeft w:val="0"/>
          <w:marRight w:val="0"/>
          <w:marTop w:val="0"/>
          <w:marBottom w:val="0"/>
          <w:divBdr>
            <w:top w:val="none" w:sz="0" w:space="0" w:color="auto"/>
            <w:left w:val="none" w:sz="0" w:space="0" w:color="auto"/>
            <w:bottom w:val="none" w:sz="0" w:space="0" w:color="auto"/>
            <w:right w:val="none" w:sz="0" w:space="0" w:color="auto"/>
          </w:divBdr>
        </w:div>
      </w:divsChild>
    </w:div>
    <w:div w:id="89545175">
      <w:bodyDiv w:val="1"/>
      <w:marLeft w:val="0"/>
      <w:marRight w:val="0"/>
      <w:marTop w:val="0"/>
      <w:marBottom w:val="0"/>
      <w:divBdr>
        <w:top w:val="none" w:sz="0" w:space="0" w:color="auto"/>
        <w:left w:val="none" w:sz="0" w:space="0" w:color="auto"/>
        <w:bottom w:val="none" w:sz="0" w:space="0" w:color="auto"/>
        <w:right w:val="none" w:sz="0" w:space="0" w:color="auto"/>
      </w:divBdr>
      <w:divsChild>
        <w:div w:id="255721602">
          <w:marLeft w:val="0"/>
          <w:marRight w:val="0"/>
          <w:marTop w:val="0"/>
          <w:marBottom w:val="0"/>
          <w:divBdr>
            <w:top w:val="none" w:sz="0" w:space="0" w:color="auto"/>
            <w:left w:val="none" w:sz="0" w:space="0" w:color="auto"/>
            <w:bottom w:val="none" w:sz="0" w:space="0" w:color="auto"/>
            <w:right w:val="none" w:sz="0" w:space="0" w:color="auto"/>
          </w:divBdr>
        </w:div>
      </w:divsChild>
    </w:div>
    <w:div w:id="269162253">
      <w:bodyDiv w:val="1"/>
      <w:marLeft w:val="0"/>
      <w:marRight w:val="0"/>
      <w:marTop w:val="0"/>
      <w:marBottom w:val="0"/>
      <w:divBdr>
        <w:top w:val="none" w:sz="0" w:space="0" w:color="auto"/>
        <w:left w:val="none" w:sz="0" w:space="0" w:color="auto"/>
        <w:bottom w:val="none" w:sz="0" w:space="0" w:color="auto"/>
        <w:right w:val="none" w:sz="0" w:space="0" w:color="auto"/>
      </w:divBdr>
    </w:div>
    <w:div w:id="456146242">
      <w:bodyDiv w:val="1"/>
      <w:marLeft w:val="0"/>
      <w:marRight w:val="0"/>
      <w:marTop w:val="0"/>
      <w:marBottom w:val="0"/>
      <w:divBdr>
        <w:top w:val="none" w:sz="0" w:space="0" w:color="auto"/>
        <w:left w:val="none" w:sz="0" w:space="0" w:color="auto"/>
        <w:bottom w:val="none" w:sz="0" w:space="0" w:color="auto"/>
        <w:right w:val="none" w:sz="0" w:space="0" w:color="auto"/>
      </w:divBdr>
    </w:div>
    <w:div w:id="460540330">
      <w:bodyDiv w:val="1"/>
      <w:marLeft w:val="0"/>
      <w:marRight w:val="0"/>
      <w:marTop w:val="0"/>
      <w:marBottom w:val="0"/>
      <w:divBdr>
        <w:top w:val="none" w:sz="0" w:space="0" w:color="auto"/>
        <w:left w:val="none" w:sz="0" w:space="0" w:color="auto"/>
        <w:bottom w:val="none" w:sz="0" w:space="0" w:color="auto"/>
        <w:right w:val="none" w:sz="0" w:space="0" w:color="auto"/>
      </w:divBdr>
      <w:divsChild>
        <w:div w:id="933437713">
          <w:marLeft w:val="0"/>
          <w:marRight w:val="0"/>
          <w:marTop w:val="0"/>
          <w:marBottom w:val="0"/>
          <w:divBdr>
            <w:top w:val="none" w:sz="0" w:space="0" w:color="auto"/>
            <w:left w:val="none" w:sz="0" w:space="0" w:color="auto"/>
            <w:bottom w:val="none" w:sz="0" w:space="0" w:color="auto"/>
            <w:right w:val="none" w:sz="0" w:space="0" w:color="auto"/>
          </w:divBdr>
          <w:divsChild>
            <w:div w:id="231932099">
              <w:marLeft w:val="0"/>
              <w:marRight w:val="0"/>
              <w:marTop w:val="0"/>
              <w:marBottom w:val="0"/>
              <w:divBdr>
                <w:top w:val="none" w:sz="0" w:space="0" w:color="auto"/>
                <w:left w:val="none" w:sz="0" w:space="0" w:color="auto"/>
                <w:bottom w:val="none" w:sz="0" w:space="0" w:color="auto"/>
                <w:right w:val="none" w:sz="0" w:space="0" w:color="auto"/>
              </w:divBdr>
              <w:divsChild>
                <w:div w:id="1270431712">
                  <w:marLeft w:val="0"/>
                  <w:marRight w:val="0"/>
                  <w:marTop w:val="0"/>
                  <w:marBottom w:val="0"/>
                  <w:divBdr>
                    <w:top w:val="none" w:sz="0" w:space="0" w:color="auto"/>
                    <w:left w:val="none" w:sz="0" w:space="0" w:color="auto"/>
                    <w:bottom w:val="none" w:sz="0" w:space="0" w:color="auto"/>
                    <w:right w:val="none" w:sz="0" w:space="0" w:color="auto"/>
                  </w:divBdr>
                  <w:divsChild>
                    <w:div w:id="295916095">
                      <w:marLeft w:val="0"/>
                      <w:marRight w:val="0"/>
                      <w:marTop w:val="0"/>
                      <w:marBottom w:val="0"/>
                      <w:divBdr>
                        <w:top w:val="none" w:sz="0" w:space="0" w:color="auto"/>
                        <w:left w:val="none" w:sz="0" w:space="0" w:color="auto"/>
                        <w:bottom w:val="none" w:sz="0" w:space="0" w:color="auto"/>
                        <w:right w:val="none" w:sz="0" w:space="0" w:color="auto"/>
                      </w:divBdr>
                      <w:divsChild>
                        <w:div w:id="396784902">
                          <w:marLeft w:val="0"/>
                          <w:marRight w:val="0"/>
                          <w:marTop w:val="0"/>
                          <w:marBottom w:val="0"/>
                          <w:divBdr>
                            <w:top w:val="none" w:sz="0" w:space="0" w:color="auto"/>
                            <w:left w:val="none" w:sz="0" w:space="0" w:color="auto"/>
                            <w:bottom w:val="none" w:sz="0" w:space="0" w:color="auto"/>
                            <w:right w:val="none" w:sz="0" w:space="0" w:color="auto"/>
                          </w:divBdr>
                          <w:divsChild>
                            <w:div w:id="242835737">
                              <w:marLeft w:val="0"/>
                              <w:marRight w:val="0"/>
                              <w:marTop w:val="0"/>
                              <w:marBottom w:val="0"/>
                              <w:divBdr>
                                <w:top w:val="none" w:sz="0" w:space="0" w:color="auto"/>
                                <w:left w:val="none" w:sz="0" w:space="0" w:color="auto"/>
                                <w:bottom w:val="none" w:sz="0" w:space="0" w:color="auto"/>
                                <w:right w:val="none" w:sz="0" w:space="0" w:color="auto"/>
                              </w:divBdr>
                              <w:divsChild>
                                <w:div w:id="1836218646">
                                  <w:marLeft w:val="0"/>
                                  <w:marRight w:val="0"/>
                                  <w:marTop w:val="0"/>
                                  <w:marBottom w:val="0"/>
                                  <w:divBdr>
                                    <w:top w:val="none" w:sz="0" w:space="0" w:color="auto"/>
                                    <w:left w:val="none" w:sz="0" w:space="0" w:color="auto"/>
                                    <w:bottom w:val="none" w:sz="0" w:space="0" w:color="auto"/>
                                    <w:right w:val="none" w:sz="0" w:space="0" w:color="auto"/>
                                  </w:divBdr>
                                  <w:divsChild>
                                    <w:div w:id="2112124112">
                                      <w:marLeft w:val="0"/>
                                      <w:marRight w:val="0"/>
                                      <w:marTop w:val="0"/>
                                      <w:marBottom w:val="0"/>
                                      <w:divBdr>
                                        <w:top w:val="none" w:sz="0" w:space="0" w:color="auto"/>
                                        <w:left w:val="none" w:sz="0" w:space="0" w:color="auto"/>
                                        <w:bottom w:val="none" w:sz="0" w:space="0" w:color="auto"/>
                                        <w:right w:val="none" w:sz="0" w:space="0" w:color="auto"/>
                                      </w:divBdr>
                                      <w:divsChild>
                                        <w:div w:id="1440838440">
                                          <w:marLeft w:val="0"/>
                                          <w:marRight w:val="0"/>
                                          <w:marTop w:val="0"/>
                                          <w:marBottom w:val="0"/>
                                          <w:divBdr>
                                            <w:top w:val="none" w:sz="0" w:space="0" w:color="auto"/>
                                            <w:left w:val="none" w:sz="0" w:space="0" w:color="auto"/>
                                            <w:bottom w:val="none" w:sz="0" w:space="0" w:color="auto"/>
                                            <w:right w:val="none" w:sz="0" w:space="0" w:color="auto"/>
                                          </w:divBdr>
                                          <w:divsChild>
                                            <w:div w:id="754323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6911109">
                                  <w:marLeft w:val="0"/>
                                  <w:marRight w:val="0"/>
                                  <w:marTop w:val="0"/>
                                  <w:marBottom w:val="0"/>
                                  <w:divBdr>
                                    <w:top w:val="none" w:sz="0" w:space="0" w:color="auto"/>
                                    <w:left w:val="none" w:sz="0" w:space="0" w:color="auto"/>
                                    <w:bottom w:val="none" w:sz="0" w:space="0" w:color="auto"/>
                                    <w:right w:val="none" w:sz="0" w:space="0" w:color="auto"/>
                                  </w:divBdr>
                                  <w:divsChild>
                                    <w:div w:id="1242446383">
                                      <w:marLeft w:val="0"/>
                                      <w:marRight w:val="0"/>
                                      <w:marTop w:val="0"/>
                                      <w:marBottom w:val="0"/>
                                      <w:divBdr>
                                        <w:top w:val="none" w:sz="0" w:space="0" w:color="auto"/>
                                        <w:left w:val="none" w:sz="0" w:space="0" w:color="auto"/>
                                        <w:bottom w:val="none" w:sz="0" w:space="0" w:color="auto"/>
                                        <w:right w:val="none" w:sz="0" w:space="0" w:color="auto"/>
                                      </w:divBdr>
                                      <w:divsChild>
                                        <w:div w:id="21066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678426">
      <w:bodyDiv w:val="1"/>
      <w:marLeft w:val="0"/>
      <w:marRight w:val="0"/>
      <w:marTop w:val="0"/>
      <w:marBottom w:val="0"/>
      <w:divBdr>
        <w:top w:val="none" w:sz="0" w:space="0" w:color="auto"/>
        <w:left w:val="none" w:sz="0" w:space="0" w:color="auto"/>
        <w:bottom w:val="none" w:sz="0" w:space="0" w:color="auto"/>
        <w:right w:val="none" w:sz="0" w:space="0" w:color="auto"/>
      </w:divBdr>
    </w:div>
    <w:div w:id="750589802">
      <w:bodyDiv w:val="1"/>
      <w:marLeft w:val="0"/>
      <w:marRight w:val="0"/>
      <w:marTop w:val="0"/>
      <w:marBottom w:val="0"/>
      <w:divBdr>
        <w:top w:val="none" w:sz="0" w:space="0" w:color="auto"/>
        <w:left w:val="none" w:sz="0" w:space="0" w:color="auto"/>
        <w:bottom w:val="none" w:sz="0" w:space="0" w:color="auto"/>
        <w:right w:val="none" w:sz="0" w:space="0" w:color="auto"/>
      </w:divBdr>
      <w:divsChild>
        <w:div w:id="1681808634">
          <w:marLeft w:val="0"/>
          <w:marRight w:val="0"/>
          <w:marTop w:val="0"/>
          <w:marBottom w:val="0"/>
          <w:divBdr>
            <w:top w:val="none" w:sz="0" w:space="0" w:color="auto"/>
            <w:left w:val="none" w:sz="0" w:space="0" w:color="auto"/>
            <w:bottom w:val="none" w:sz="0" w:space="0" w:color="auto"/>
            <w:right w:val="none" w:sz="0" w:space="0" w:color="auto"/>
          </w:divBdr>
          <w:divsChild>
            <w:div w:id="1674139940">
              <w:marLeft w:val="0"/>
              <w:marRight w:val="0"/>
              <w:marTop w:val="0"/>
              <w:marBottom w:val="0"/>
              <w:divBdr>
                <w:top w:val="none" w:sz="0" w:space="0" w:color="auto"/>
                <w:left w:val="none" w:sz="0" w:space="0" w:color="auto"/>
                <w:bottom w:val="none" w:sz="0" w:space="0" w:color="auto"/>
                <w:right w:val="none" w:sz="0" w:space="0" w:color="auto"/>
              </w:divBdr>
              <w:divsChild>
                <w:div w:id="1563828699">
                  <w:marLeft w:val="0"/>
                  <w:marRight w:val="0"/>
                  <w:marTop w:val="0"/>
                  <w:marBottom w:val="0"/>
                  <w:divBdr>
                    <w:top w:val="none" w:sz="0" w:space="0" w:color="auto"/>
                    <w:left w:val="none" w:sz="0" w:space="0" w:color="auto"/>
                    <w:bottom w:val="none" w:sz="0" w:space="0" w:color="auto"/>
                    <w:right w:val="none" w:sz="0" w:space="0" w:color="auto"/>
                  </w:divBdr>
                  <w:divsChild>
                    <w:div w:id="1693993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48513537">
          <w:marLeft w:val="0"/>
          <w:marRight w:val="0"/>
          <w:marTop w:val="0"/>
          <w:marBottom w:val="0"/>
          <w:divBdr>
            <w:top w:val="none" w:sz="0" w:space="0" w:color="auto"/>
            <w:left w:val="none" w:sz="0" w:space="0" w:color="auto"/>
            <w:bottom w:val="none" w:sz="0" w:space="0" w:color="auto"/>
            <w:right w:val="none" w:sz="0" w:space="0" w:color="auto"/>
          </w:divBdr>
          <w:divsChild>
            <w:div w:id="2023435744">
              <w:marLeft w:val="0"/>
              <w:marRight w:val="0"/>
              <w:marTop w:val="0"/>
              <w:marBottom w:val="0"/>
              <w:divBdr>
                <w:top w:val="none" w:sz="0" w:space="0" w:color="auto"/>
                <w:left w:val="none" w:sz="0" w:space="0" w:color="auto"/>
                <w:bottom w:val="none" w:sz="0" w:space="0" w:color="auto"/>
                <w:right w:val="none" w:sz="0" w:space="0" w:color="auto"/>
              </w:divBdr>
              <w:divsChild>
                <w:div w:id="1752582426">
                  <w:marLeft w:val="0"/>
                  <w:marRight w:val="0"/>
                  <w:marTop w:val="0"/>
                  <w:marBottom w:val="0"/>
                  <w:divBdr>
                    <w:top w:val="none" w:sz="0" w:space="0" w:color="auto"/>
                    <w:left w:val="none" w:sz="0" w:space="0" w:color="auto"/>
                    <w:bottom w:val="none" w:sz="0" w:space="0" w:color="auto"/>
                    <w:right w:val="none" w:sz="0" w:space="0" w:color="auto"/>
                  </w:divBdr>
                  <w:divsChild>
                    <w:div w:id="1871187371">
                      <w:marLeft w:val="0"/>
                      <w:marRight w:val="0"/>
                      <w:marTop w:val="0"/>
                      <w:marBottom w:val="0"/>
                      <w:divBdr>
                        <w:top w:val="none" w:sz="0" w:space="0" w:color="auto"/>
                        <w:left w:val="none" w:sz="0" w:space="0" w:color="auto"/>
                        <w:bottom w:val="none" w:sz="0" w:space="0" w:color="auto"/>
                        <w:right w:val="none" w:sz="0" w:space="0" w:color="auto"/>
                      </w:divBdr>
                      <w:divsChild>
                        <w:div w:id="942490780">
                          <w:marLeft w:val="0"/>
                          <w:marRight w:val="0"/>
                          <w:marTop w:val="0"/>
                          <w:marBottom w:val="0"/>
                          <w:divBdr>
                            <w:top w:val="single" w:sz="6" w:space="0" w:color="F9FAFB"/>
                            <w:left w:val="single" w:sz="6" w:space="0" w:color="F9FAFB"/>
                            <w:bottom w:val="single" w:sz="6" w:space="0" w:color="F9FAFB"/>
                            <w:right w:val="single" w:sz="6" w:space="0" w:color="F9FAFB"/>
                          </w:divBdr>
                        </w:div>
                        <w:div w:id="1052726095">
                          <w:marLeft w:val="0"/>
                          <w:marRight w:val="0"/>
                          <w:marTop w:val="0"/>
                          <w:marBottom w:val="0"/>
                          <w:divBdr>
                            <w:top w:val="single" w:sz="36" w:space="0" w:color="0064AA"/>
                            <w:left w:val="single" w:sz="6" w:space="0" w:color="F9FAFB"/>
                            <w:bottom w:val="single" w:sz="6" w:space="0" w:color="F9FAFB"/>
                            <w:right w:val="single" w:sz="6" w:space="0" w:color="F9FAFB"/>
                          </w:divBdr>
                        </w:div>
                      </w:divsChild>
                    </w:div>
                  </w:divsChild>
                </w:div>
              </w:divsChild>
            </w:div>
          </w:divsChild>
        </w:div>
      </w:divsChild>
    </w:div>
    <w:div w:id="764108904">
      <w:bodyDiv w:val="1"/>
      <w:marLeft w:val="0"/>
      <w:marRight w:val="0"/>
      <w:marTop w:val="0"/>
      <w:marBottom w:val="0"/>
      <w:divBdr>
        <w:top w:val="none" w:sz="0" w:space="0" w:color="auto"/>
        <w:left w:val="none" w:sz="0" w:space="0" w:color="auto"/>
        <w:bottom w:val="none" w:sz="0" w:space="0" w:color="auto"/>
        <w:right w:val="none" w:sz="0" w:space="0" w:color="auto"/>
      </w:divBdr>
      <w:divsChild>
        <w:div w:id="1473403367">
          <w:marLeft w:val="0"/>
          <w:marRight w:val="0"/>
          <w:marTop w:val="0"/>
          <w:marBottom w:val="0"/>
          <w:divBdr>
            <w:top w:val="none" w:sz="0" w:space="0" w:color="auto"/>
            <w:left w:val="none" w:sz="0" w:space="0" w:color="auto"/>
            <w:bottom w:val="none" w:sz="0" w:space="0" w:color="auto"/>
            <w:right w:val="none" w:sz="0" w:space="0" w:color="auto"/>
          </w:divBdr>
          <w:divsChild>
            <w:div w:id="14815939">
              <w:marLeft w:val="0"/>
              <w:marRight w:val="0"/>
              <w:marTop w:val="0"/>
              <w:marBottom w:val="0"/>
              <w:divBdr>
                <w:top w:val="none" w:sz="0" w:space="0" w:color="auto"/>
                <w:left w:val="none" w:sz="0" w:space="0" w:color="auto"/>
                <w:bottom w:val="none" w:sz="0" w:space="0" w:color="auto"/>
                <w:right w:val="none" w:sz="0" w:space="0" w:color="auto"/>
              </w:divBdr>
              <w:divsChild>
                <w:div w:id="965041982">
                  <w:marLeft w:val="0"/>
                  <w:marRight w:val="0"/>
                  <w:marTop w:val="0"/>
                  <w:marBottom w:val="0"/>
                  <w:divBdr>
                    <w:top w:val="none" w:sz="0" w:space="0" w:color="auto"/>
                    <w:left w:val="none" w:sz="0" w:space="0" w:color="auto"/>
                    <w:bottom w:val="none" w:sz="0" w:space="0" w:color="auto"/>
                    <w:right w:val="none" w:sz="0" w:space="0" w:color="auto"/>
                  </w:divBdr>
                  <w:divsChild>
                    <w:div w:id="1856184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93517475">
          <w:marLeft w:val="0"/>
          <w:marRight w:val="0"/>
          <w:marTop w:val="0"/>
          <w:marBottom w:val="0"/>
          <w:divBdr>
            <w:top w:val="none" w:sz="0" w:space="0" w:color="auto"/>
            <w:left w:val="none" w:sz="0" w:space="0" w:color="auto"/>
            <w:bottom w:val="none" w:sz="0" w:space="0" w:color="auto"/>
            <w:right w:val="none" w:sz="0" w:space="0" w:color="auto"/>
          </w:divBdr>
          <w:divsChild>
            <w:div w:id="831069874">
              <w:marLeft w:val="0"/>
              <w:marRight w:val="0"/>
              <w:marTop w:val="0"/>
              <w:marBottom w:val="0"/>
              <w:divBdr>
                <w:top w:val="none" w:sz="0" w:space="0" w:color="auto"/>
                <w:left w:val="none" w:sz="0" w:space="0" w:color="auto"/>
                <w:bottom w:val="none" w:sz="0" w:space="0" w:color="auto"/>
                <w:right w:val="none" w:sz="0" w:space="0" w:color="auto"/>
              </w:divBdr>
              <w:divsChild>
                <w:div w:id="726877607">
                  <w:marLeft w:val="0"/>
                  <w:marRight w:val="0"/>
                  <w:marTop w:val="0"/>
                  <w:marBottom w:val="0"/>
                  <w:divBdr>
                    <w:top w:val="none" w:sz="0" w:space="0" w:color="auto"/>
                    <w:left w:val="none" w:sz="0" w:space="0" w:color="auto"/>
                    <w:bottom w:val="none" w:sz="0" w:space="0" w:color="auto"/>
                    <w:right w:val="none" w:sz="0" w:space="0" w:color="auto"/>
                  </w:divBdr>
                  <w:divsChild>
                    <w:div w:id="718212658">
                      <w:marLeft w:val="0"/>
                      <w:marRight w:val="0"/>
                      <w:marTop w:val="0"/>
                      <w:marBottom w:val="0"/>
                      <w:divBdr>
                        <w:top w:val="none" w:sz="0" w:space="0" w:color="auto"/>
                        <w:left w:val="none" w:sz="0" w:space="0" w:color="auto"/>
                        <w:bottom w:val="none" w:sz="0" w:space="0" w:color="auto"/>
                        <w:right w:val="none" w:sz="0" w:space="0" w:color="auto"/>
                      </w:divBdr>
                      <w:divsChild>
                        <w:div w:id="1039815052">
                          <w:marLeft w:val="0"/>
                          <w:marRight w:val="0"/>
                          <w:marTop w:val="0"/>
                          <w:marBottom w:val="0"/>
                          <w:divBdr>
                            <w:top w:val="single" w:sz="6" w:space="0" w:color="F9FAFB"/>
                            <w:left w:val="single" w:sz="6" w:space="0" w:color="F9FAFB"/>
                            <w:bottom w:val="single" w:sz="6" w:space="0" w:color="F9FAFB"/>
                            <w:right w:val="single" w:sz="6" w:space="0" w:color="F9FAFB"/>
                          </w:divBdr>
                        </w:div>
                        <w:div w:id="132213672">
                          <w:marLeft w:val="0"/>
                          <w:marRight w:val="0"/>
                          <w:marTop w:val="0"/>
                          <w:marBottom w:val="0"/>
                          <w:divBdr>
                            <w:top w:val="single" w:sz="36" w:space="0" w:color="0064AA"/>
                            <w:left w:val="single" w:sz="6" w:space="0" w:color="F9FAFB"/>
                            <w:bottom w:val="single" w:sz="6" w:space="0" w:color="F9FAFB"/>
                            <w:right w:val="single" w:sz="6" w:space="0" w:color="F9FAFB"/>
                          </w:divBdr>
                        </w:div>
                      </w:divsChild>
                    </w:div>
                  </w:divsChild>
                </w:div>
              </w:divsChild>
            </w:div>
          </w:divsChild>
        </w:div>
      </w:divsChild>
    </w:div>
    <w:div w:id="786315208">
      <w:bodyDiv w:val="1"/>
      <w:marLeft w:val="0"/>
      <w:marRight w:val="0"/>
      <w:marTop w:val="0"/>
      <w:marBottom w:val="0"/>
      <w:divBdr>
        <w:top w:val="none" w:sz="0" w:space="0" w:color="auto"/>
        <w:left w:val="none" w:sz="0" w:space="0" w:color="auto"/>
        <w:bottom w:val="none" w:sz="0" w:space="0" w:color="auto"/>
        <w:right w:val="none" w:sz="0" w:space="0" w:color="auto"/>
      </w:divBdr>
    </w:div>
    <w:div w:id="1473982150">
      <w:bodyDiv w:val="1"/>
      <w:marLeft w:val="0"/>
      <w:marRight w:val="0"/>
      <w:marTop w:val="0"/>
      <w:marBottom w:val="0"/>
      <w:divBdr>
        <w:top w:val="none" w:sz="0" w:space="0" w:color="auto"/>
        <w:left w:val="none" w:sz="0" w:space="0" w:color="auto"/>
        <w:bottom w:val="none" w:sz="0" w:space="0" w:color="auto"/>
        <w:right w:val="none" w:sz="0" w:space="0" w:color="auto"/>
      </w:divBdr>
    </w:div>
    <w:div w:id="1513182743">
      <w:bodyDiv w:val="1"/>
      <w:marLeft w:val="0"/>
      <w:marRight w:val="0"/>
      <w:marTop w:val="0"/>
      <w:marBottom w:val="0"/>
      <w:divBdr>
        <w:top w:val="none" w:sz="0" w:space="0" w:color="auto"/>
        <w:left w:val="none" w:sz="0" w:space="0" w:color="auto"/>
        <w:bottom w:val="none" w:sz="0" w:space="0" w:color="auto"/>
        <w:right w:val="none" w:sz="0" w:space="0" w:color="auto"/>
      </w:divBdr>
      <w:divsChild>
        <w:div w:id="1583683308">
          <w:marLeft w:val="0"/>
          <w:marRight w:val="0"/>
          <w:marTop w:val="0"/>
          <w:marBottom w:val="0"/>
          <w:divBdr>
            <w:top w:val="none" w:sz="0" w:space="0" w:color="auto"/>
            <w:left w:val="none" w:sz="0" w:space="0" w:color="auto"/>
            <w:bottom w:val="none" w:sz="0" w:space="0" w:color="auto"/>
            <w:right w:val="none" w:sz="0" w:space="0" w:color="auto"/>
          </w:divBdr>
          <w:divsChild>
            <w:div w:id="914900726">
              <w:marLeft w:val="0"/>
              <w:marRight w:val="0"/>
              <w:marTop w:val="0"/>
              <w:marBottom w:val="0"/>
              <w:divBdr>
                <w:top w:val="none" w:sz="0" w:space="0" w:color="auto"/>
                <w:left w:val="none" w:sz="0" w:space="0" w:color="auto"/>
                <w:bottom w:val="none" w:sz="0" w:space="0" w:color="auto"/>
                <w:right w:val="none" w:sz="0" w:space="0" w:color="auto"/>
              </w:divBdr>
              <w:divsChild>
                <w:div w:id="145754097">
                  <w:marLeft w:val="0"/>
                  <w:marRight w:val="0"/>
                  <w:marTop w:val="0"/>
                  <w:marBottom w:val="0"/>
                  <w:divBdr>
                    <w:top w:val="none" w:sz="0" w:space="0" w:color="auto"/>
                    <w:left w:val="none" w:sz="0" w:space="0" w:color="auto"/>
                    <w:bottom w:val="none" w:sz="0" w:space="0" w:color="auto"/>
                    <w:right w:val="none" w:sz="0" w:space="0" w:color="auto"/>
                  </w:divBdr>
                  <w:divsChild>
                    <w:div w:id="2044089036">
                      <w:marLeft w:val="0"/>
                      <w:marRight w:val="0"/>
                      <w:marTop w:val="0"/>
                      <w:marBottom w:val="0"/>
                      <w:divBdr>
                        <w:top w:val="none" w:sz="0" w:space="0" w:color="auto"/>
                        <w:left w:val="none" w:sz="0" w:space="0" w:color="auto"/>
                        <w:bottom w:val="none" w:sz="0" w:space="0" w:color="auto"/>
                        <w:right w:val="none" w:sz="0" w:space="0" w:color="auto"/>
                      </w:divBdr>
                      <w:divsChild>
                        <w:div w:id="1018315260">
                          <w:marLeft w:val="0"/>
                          <w:marRight w:val="0"/>
                          <w:marTop w:val="0"/>
                          <w:marBottom w:val="0"/>
                          <w:divBdr>
                            <w:top w:val="none" w:sz="0" w:space="0" w:color="auto"/>
                            <w:left w:val="none" w:sz="0" w:space="0" w:color="auto"/>
                            <w:bottom w:val="none" w:sz="0" w:space="0" w:color="auto"/>
                            <w:right w:val="none" w:sz="0" w:space="0" w:color="auto"/>
                          </w:divBdr>
                          <w:divsChild>
                            <w:div w:id="468013500">
                              <w:marLeft w:val="0"/>
                              <w:marRight w:val="0"/>
                              <w:marTop w:val="0"/>
                              <w:marBottom w:val="0"/>
                              <w:divBdr>
                                <w:top w:val="none" w:sz="0" w:space="0" w:color="auto"/>
                                <w:left w:val="none" w:sz="0" w:space="0" w:color="auto"/>
                                <w:bottom w:val="none" w:sz="0" w:space="0" w:color="auto"/>
                                <w:right w:val="none" w:sz="0" w:space="0" w:color="auto"/>
                              </w:divBdr>
                              <w:divsChild>
                                <w:div w:id="1553689935">
                                  <w:marLeft w:val="0"/>
                                  <w:marRight w:val="0"/>
                                  <w:marTop w:val="0"/>
                                  <w:marBottom w:val="0"/>
                                  <w:divBdr>
                                    <w:top w:val="none" w:sz="0" w:space="0" w:color="auto"/>
                                    <w:left w:val="none" w:sz="0" w:space="0" w:color="auto"/>
                                    <w:bottom w:val="none" w:sz="0" w:space="0" w:color="auto"/>
                                    <w:right w:val="none" w:sz="0" w:space="0" w:color="auto"/>
                                  </w:divBdr>
                                  <w:divsChild>
                                    <w:div w:id="287201258">
                                      <w:marLeft w:val="0"/>
                                      <w:marRight w:val="0"/>
                                      <w:marTop w:val="0"/>
                                      <w:marBottom w:val="0"/>
                                      <w:divBdr>
                                        <w:top w:val="none" w:sz="0" w:space="0" w:color="auto"/>
                                        <w:left w:val="none" w:sz="0" w:space="0" w:color="auto"/>
                                        <w:bottom w:val="none" w:sz="0" w:space="0" w:color="auto"/>
                                        <w:right w:val="none" w:sz="0" w:space="0" w:color="auto"/>
                                      </w:divBdr>
                                      <w:divsChild>
                                        <w:div w:id="1171945651">
                                          <w:marLeft w:val="0"/>
                                          <w:marRight w:val="0"/>
                                          <w:marTop w:val="0"/>
                                          <w:marBottom w:val="0"/>
                                          <w:divBdr>
                                            <w:top w:val="none" w:sz="0" w:space="0" w:color="auto"/>
                                            <w:left w:val="none" w:sz="0" w:space="0" w:color="auto"/>
                                            <w:bottom w:val="none" w:sz="0" w:space="0" w:color="auto"/>
                                            <w:right w:val="none" w:sz="0" w:space="0" w:color="auto"/>
                                          </w:divBdr>
                                          <w:divsChild>
                                            <w:div w:id="484005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544721">
                                  <w:marLeft w:val="0"/>
                                  <w:marRight w:val="0"/>
                                  <w:marTop w:val="0"/>
                                  <w:marBottom w:val="0"/>
                                  <w:divBdr>
                                    <w:top w:val="none" w:sz="0" w:space="0" w:color="auto"/>
                                    <w:left w:val="none" w:sz="0" w:space="0" w:color="auto"/>
                                    <w:bottom w:val="none" w:sz="0" w:space="0" w:color="auto"/>
                                    <w:right w:val="none" w:sz="0" w:space="0" w:color="auto"/>
                                  </w:divBdr>
                                  <w:divsChild>
                                    <w:div w:id="1733429366">
                                      <w:marLeft w:val="0"/>
                                      <w:marRight w:val="0"/>
                                      <w:marTop w:val="0"/>
                                      <w:marBottom w:val="0"/>
                                      <w:divBdr>
                                        <w:top w:val="none" w:sz="0" w:space="0" w:color="auto"/>
                                        <w:left w:val="none" w:sz="0" w:space="0" w:color="auto"/>
                                        <w:bottom w:val="none" w:sz="0" w:space="0" w:color="auto"/>
                                        <w:right w:val="none" w:sz="0" w:space="0" w:color="auto"/>
                                      </w:divBdr>
                                      <w:divsChild>
                                        <w:div w:id="2900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515375">
      <w:bodyDiv w:val="1"/>
      <w:marLeft w:val="0"/>
      <w:marRight w:val="0"/>
      <w:marTop w:val="0"/>
      <w:marBottom w:val="0"/>
      <w:divBdr>
        <w:top w:val="none" w:sz="0" w:space="0" w:color="auto"/>
        <w:left w:val="none" w:sz="0" w:space="0" w:color="auto"/>
        <w:bottom w:val="none" w:sz="0" w:space="0" w:color="auto"/>
        <w:right w:val="none" w:sz="0" w:space="0" w:color="auto"/>
      </w:divBdr>
    </w:div>
    <w:div w:id="1706633684">
      <w:bodyDiv w:val="1"/>
      <w:marLeft w:val="0"/>
      <w:marRight w:val="0"/>
      <w:marTop w:val="0"/>
      <w:marBottom w:val="0"/>
      <w:divBdr>
        <w:top w:val="none" w:sz="0" w:space="0" w:color="auto"/>
        <w:left w:val="none" w:sz="0" w:space="0" w:color="auto"/>
        <w:bottom w:val="none" w:sz="0" w:space="0" w:color="auto"/>
        <w:right w:val="none" w:sz="0" w:space="0" w:color="auto"/>
      </w:divBdr>
    </w:div>
    <w:div w:id="18932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zpb.pflegias.cornelsen.de/mod/glossary/showentry.php?eid=14372&amp;displayformat=diction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lfsmittel.gkv-spitzenverban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zpb.pflegias.cornelsen.de/mod/glossary/showentry.php?eid=11644&amp;displayformat=dictionar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8142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Rabba</dc:creator>
  <cp:keywords/>
  <dc:description/>
  <cp:lastModifiedBy>Wiebke Rabba</cp:lastModifiedBy>
  <cp:revision>24</cp:revision>
  <dcterms:created xsi:type="dcterms:W3CDTF">2025-06-30T11:58:00Z</dcterms:created>
  <dcterms:modified xsi:type="dcterms:W3CDTF">2025-07-23T07:22:00Z</dcterms:modified>
</cp:coreProperties>
</file>